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华文楷体" w:asciiTheme="minorEastAsia" w:hAnsiTheme="minorEastAsia" w:eastAsiaTheme="minorEastAsia"/>
          <w:b/>
          <w:color w:val="000000" w:themeColor="text1"/>
          <w:sz w:val="52"/>
          <w:szCs w:val="52"/>
        </w:rPr>
      </w:pPr>
    </w:p>
    <w:p>
      <w:pPr>
        <w:jc w:val="center"/>
        <w:rPr>
          <w:rFonts w:cs="华文楷体" w:asciiTheme="minorEastAsia" w:hAnsiTheme="minorEastAsia" w:eastAsiaTheme="minorEastAsia"/>
          <w:b/>
          <w:color w:val="000000" w:themeColor="text1"/>
          <w:sz w:val="52"/>
          <w:szCs w:val="52"/>
        </w:rPr>
      </w:pPr>
      <w:r>
        <w:rPr>
          <w:rFonts w:hint="eastAsia" w:cs="华文楷体" w:asciiTheme="minorEastAsia" w:hAnsiTheme="minorEastAsia" w:eastAsiaTheme="minorEastAsia"/>
          <w:b/>
          <w:color w:val="000000" w:themeColor="text1"/>
          <w:sz w:val="52"/>
          <w:szCs w:val="52"/>
        </w:rPr>
        <w:t>江苏师范大学</w:t>
      </w:r>
    </w:p>
    <w:p>
      <w:pPr>
        <w:adjustRightInd w:val="0"/>
        <w:snapToGrid w:val="0"/>
        <w:jc w:val="center"/>
        <w:rPr>
          <w:b/>
          <w:bCs/>
          <w:sz w:val="48"/>
          <w:szCs w:val="48"/>
        </w:rPr>
      </w:pPr>
      <w:r>
        <w:rPr>
          <w:rFonts w:hint="eastAsia"/>
          <w:b/>
          <w:bCs/>
          <w:sz w:val="48"/>
          <w:szCs w:val="48"/>
        </w:rPr>
        <w:t>智慧校友服务平台（一期）项目</w:t>
      </w:r>
    </w:p>
    <w:p>
      <w:pPr>
        <w:adjustRightInd w:val="0"/>
        <w:snapToGrid w:val="0"/>
        <w:jc w:val="center"/>
        <w:rPr>
          <w:rFonts w:cs="华文楷体" w:asciiTheme="minorEastAsia" w:hAnsiTheme="minorEastAsia" w:eastAsiaTheme="minorEastAsia"/>
          <w:b/>
          <w:bCs/>
          <w:color w:val="000000" w:themeColor="text1"/>
          <w:sz w:val="32"/>
          <w:szCs w:val="32"/>
          <w:u w:val="single"/>
        </w:rPr>
      </w:pPr>
      <w:r>
        <w:rPr>
          <w:rFonts w:hint="eastAsia" w:cs="华文楷体" w:asciiTheme="minorEastAsia" w:hAnsiTheme="minorEastAsia" w:eastAsiaTheme="minorEastAsia"/>
          <w:b/>
          <w:color w:val="000000" w:themeColor="text1"/>
          <w:sz w:val="32"/>
          <w:szCs w:val="32"/>
        </w:rPr>
        <w:t>(项目编号：</w:t>
      </w:r>
      <w:r>
        <w:rPr>
          <w:rFonts w:cs="华文楷体" w:asciiTheme="minorEastAsia" w:hAnsiTheme="minorEastAsia" w:eastAsiaTheme="minorEastAsia"/>
          <w:b/>
          <w:color w:val="000000" w:themeColor="text1"/>
          <w:sz w:val="32"/>
          <w:szCs w:val="32"/>
        </w:rPr>
        <w:t>2024F07011</w:t>
      </w:r>
      <w:r>
        <w:rPr>
          <w:rFonts w:hint="eastAsia" w:cs="华文楷体" w:asciiTheme="minorEastAsia" w:hAnsiTheme="minorEastAsia" w:eastAsiaTheme="minorEastAsia"/>
          <w:b/>
          <w:color w:val="000000" w:themeColor="text1"/>
          <w:sz w:val="32"/>
          <w:szCs w:val="32"/>
        </w:rPr>
        <w:t>)</w:t>
      </w:r>
    </w:p>
    <w:p>
      <w:pPr>
        <w:adjustRightInd w:val="0"/>
        <w:snapToGrid w:val="0"/>
        <w:rPr>
          <w:rFonts w:cs="华文楷体" w:asciiTheme="minorEastAsia" w:hAnsiTheme="minorEastAsia" w:eastAsiaTheme="minorEastAsia"/>
          <w:b/>
          <w:color w:val="000000" w:themeColor="text1"/>
          <w:sz w:val="72"/>
          <w:szCs w:val="72"/>
        </w:rPr>
      </w:pPr>
    </w:p>
    <w:p>
      <w:pPr>
        <w:adjustRightInd w:val="0"/>
        <w:snapToGrid w:val="0"/>
        <w:spacing w:line="276" w:lineRule="auto"/>
        <w:jc w:val="center"/>
        <w:rPr>
          <w:rFonts w:cs="华文楷体" w:asciiTheme="minorEastAsia" w:hAnsiTheme="minorEastAsia" w:eastAsiaTheme="minorEastAsia"/>
          <w:b/>
          <w:color w:val="000000" w:themeColor="text1"/>
          <w:sz w:val="96"/>
          <w:szCs w:val="120"/>
        </w:rPr>
      </w:pPr>
      <w:r>
        <w:rPr>
          <w:rFonts w:hint="eastAsia" w:cs="华文楷体" w:asciiTheme="minorEastAsia" w:hAnsiTheme="minorEastAsia" w:eastAsiaTheme="minorEastAsia"/>
          <w:b/>
          <w:color w:val="000000" w:themeColor="text1"/>
          <w:sz w:val="96"/>
          <w:szCs w:val="120"/>
        </w:rPr>
        <w:t>磋</w:t>
      </w:r>
    </w:p>
    <w:p>
      <w:pPr>
        <w:adjustRightInd w:val="0"/>
        <w:snapToGrid w:val="0"/>
        <w:spacing w:line="276" w:lineRule="auto"/>
        <w:jc w:val="center"/>
        <w:rPr>
          <w:rFonts w:cs="华文楷体" w:asciiTheme="minorEastAsia" w:hAnsiTheme="minorEastAsia" w:eastAsiaTheme="minorEastAsia"/>
          <w:b/>
          <w:color w:val="000000" w:themeColor="text1"/>
          <w:sz w:val="96"/>
          <w:szCs w:val="120"/>
        </w:rPr>
      </w:pPr>
      <w:r>
        <w:rPr>
          <w:rFonts w:hint="eastAsia" w:cs="华文楷体" w:asciiTheme="minorEastAsia" w:hAnsiTheme="minorEastAsia" w:eastAsiaTheme="minorEastAsia"/>
          <w:b/>
          <w:color w:val="000000" w:themeColor="text1"/>
          <w:sz w:val="96"/>
          <w:szCs w:val="120"/>
        </w:rPr>
        <w:t>商</w:t>
      </w:r>
    </w:p>
    <w:p>
      <w:pPr>
        <w:adjustRightInd w:val="0"/>
        <w:snapToGrid w:val="0"/>
        <w:spacing w:line="276" w:lineRule="auto"/>
        <w:jc w:val="center"/>
        <w:rPr>
          <w:rFonts w:cs="华文楷体" w:asciiTheme="minorEastAsia" w:hAnsiTheme="minorEastAsia" w:eastAsiaTheme="minorEastAsia"/>
          <w:b/>
          <w:color w:val="000000" w:themeColor="text1"/>
          <w:sz w:val="96"/>
          <w:szCs w:val="120"/>
        </w:rPr>
      </w:pPr>
      <w:r>
        <w:rPr>
          <w:rFonts w:hint="eastAsia" w:cs="华文楷体" w:asciiTheme="minorEastAsia" w:hAnsiTheme="minorEastAsia" w:eastAsiaTheme="minorEastAsia"/>
          <w:b/>
          <w:color w:val="000000" w:themeColor="text1"/>
          <w:sz w:val="96"/>
          <w:szCs w:val="120"/>
        </w:rPr>
        <w:t>文</w:t>
      </w:r>
    </w:p>
    <w:p>
      <w:pPr>
        <w:adjustRightInd w:val="0"/>
        <w:snapToGrid w:val="0"/>
        <w:spacing w:line="276" w:lineRule="auto"/>
        <w:jc w:val="center"/>
        <w:rPr>
          <w:rFonts w:cs="华文楷体" w:asciiTheme="minorEastAsia" w:hAnsiTheme="minorEastAsia" w:eastAsiaTheme="minorEastAsia"/>
          <w:b/>
          <w:color w:val="000000" w:themeColor="text1"/>
          <w:sz w:val="96"/>
          <w:szCs w:val="144"/>
        </w:rPr>
      </w:pPr>
      <w:r>
        <w:rPr>
          <w:rFonts w:hint="eastAsia" w:cs="华文楷体" w:asciiTheme="minorEastAsia" w:hAnsiTheme="minorEastAsia" w:eastAsiaTheme="minorEastAsia"/>
          <w:b/>
          <w:color w:val="000000" w:themeColor="text1"/>
          <w:sz w:val="96"/>
          <w:szCs w:val="120"/>
        </w:rPr>
        <w:t>件</w:t>
      </w:r>
    </w:p>
    <w:p>
      <w:pPr>
        <w:ind w:left="3192" w:leftChars="1520" w:firstLine="6076" w:firstLineChars="1899"/>
        <w:rPr>
          <w:rFonts w:cs="华文楷体" w:asciiTheme="minorEastAsia" w:hAnsiTheme="minorEastAsia" w:eastAsiaTheme="minorEastAsia"/>
          <w:color w:val="000000" w:themeColor="text1"/>
          <w:sz w:val="32"/>
        </w:rPr>
      </w:pPr>
    </w:p>
    <w:p>
      <w:pPr>
        <w:ind w:left="3192" w:leftChars="1520" w:firstLine="6076" w:firstLineChars="1899"/>
        <w:rPr>
          <w:rFonts w:cs="华文楷体" w:asciiTheme="minorEastAsia" w:hAnsiTheme="minorEastAsia" w:eastAsiaTheme="minorEastAsia"/>
          <w:color w:val="000000" w:themeColor="text1"/>
          <w:sz w:val="32"/>
        </w:rPr>
      </w:pPr>
    </w:p>
    <w:p>
      <w:pPr>
        <w:ind w:firstLine="3040" w:firstLineChars="950"/>
        <w:rPr>
          <w:rFonts w:cs="华文楷体" w:asciiTheme="minorEastAsia" w:hAnsiTheme="minorEastAsia" w:eastAsiaTheme="minorEastAsia"/>
          <w:color w:val="000000" w:themeColor="text1"/>
          <w:sz w:val="32"/>
        </w:rPr>
      </w:pPr>
      <w:r>
        <w:rPr>
          <w:rFonts w:cs="华文楷体" w:asciiTheme="minorEastAsia" w:hAnsiTheme="minorEastAsia" w:eastAsiaTheme="minorEastAsia"/>
          <w:color w:val="000000" w:themeColor="text1"/>
          <w:sz w:val="32"/>
        </w:rPr>
        <w:t>江苏师范大学招标</w:t>
      </w:r>
      <w:r>
        <w:rPr>
          <w:rFonts w:hint="eastAsia" w:cs="华文楷体" w:asciiTheme="minorEastAsia" w:hAnsiTheme="minorEastAsia" w:eastAsiaTheme="minorEastAsia"/>
          <w:color w:val="000000" w:themeColor="text1"/>
          <w:sz w:val="32"/>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rPr>
      </w:pPr>
      <w:r>
        <w:rPr>
          <w:rFonts w:hint="eastAsia" w:cs="华文楷体" w:asciiTheme="minorEastAsia" w:hAnsiTheme="minorEastAsia" w:eastAsiaTheme="minorEastAsia"/>
          <w:color w:val="000000" w:themeColor="text1"/>
          <w:sz w:val="32"/>
          <w:shd w:val="clear" w:color="auto" w:fill="FFFFFF" w:themeFill="background1"/>
        </w:rPr>
        <w:t>2024年5月16日</w:t>
      </w:r>
    </w:p>
    <w:p>
      <w:pPr>
        <w:ind w:firstLine="3520" w:firstLineChars="1100"/>
        <w:rPr>
          <w:rFonts w:cs="华文楷体" w:asciiTheme="minorEastAsia" w:hAnsiTheme="minorEastAsia" w:eastAsiaTheme="minorEastAsia"/>
          <w:color w:val="000000" w:themeColor="text1"/>
          <w:sz w:val="32"/>
          <w:shd w:val="clear" w:color="auto" w:fill="FFC000"/>
        </w:rPr>
      </w:pPr>
    </w:p>
    <w:p>
      <w:pPr>
        <w:ind w:firstLine="3520" w:firstLineChars="1100"/>
        <w:rPr>
          <w:rFonts w:cs="华文楷体" w:asciiTheme="minorEastAsia" w:hAnsiTheme="minorEastAsia" w:eastAsiaTheme="minorEastAsia"/>
          <w:color w:val="000000" w:themeColor="text1"/>
          <w:sz w:val="32"/>
          <w:shd w:val="clear" w:color="auto" w:fill="FFC000"/>
        </w:rPr>
      </w:pPr>
    </w:p>
    <w:p>
      <w:pPr>
        <w:ind w:firstLine="3520" w:firstLineChars="1100"/>
        <w:rPr>
          <w:rFonts w:cs="华文楷体" w:asciiTheme="minorEastAsia" w:hAnsiTheme="minorEastAsia" w:eastAsiaTheme="minorEastAsia"/>
          <w:color w:val="000000" w:themeColor="text1"/>
          <w:sz w:val="32"/>
          <w:shd w:val="clear" w:color="auto" w:fill="FFC000"/>
        </w:rPr>
      </w:pPr>
    </w:p>
    <w:p>
      <w:pPr>
        <w:ind w:firstLine="3520" w:firstLineChars="1100"/>
        <w:rPr>
          <w:rFonts w:cs="华文楷体" w:asciiTheme="minorEastAsia" w:hAnsiTheme="minorEastAsia" w:eastAsiaTheme="minorEastAsia"/>
          <w:color w:val="000000" w:themeColor="text1"/>
          <w:sz w:val="32"/>
          <w:shd w:val="clear" w:color="auto" w:fill="FFC000"/>
        </w:rPr>
      </w:pPr>
    </w:p>
    <w:p>
      <w:pPr>
        <w:pStyle w:val="28"/>
        <w:numPr>
          <w:ilvl w:val="0"/>
          <w:numId w:val="0"/>
        </w:numPr>
        <w:spacing w:before="0" w:after="0" w:line="400" w:lineRule="exact"/>
        <w:outlineLvl w:val="9"/>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第一章    总 则</w:t>
      </w:r>
    </w:p>
    <w:p>
      <w:pPr>
        <w:pStyle w:val="27"/>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rPr>
      </w:pPr>
      <w:r>
        <w:rPr>
          <w:rFonts w:hint="eastAsia" w:cs="华文楷体" w:asciiTheme="minorEastAsia" w:hAnsiTheme="minorEastAsia" w:eastAsiaTheme="minorEastAsia"/>
          <w:bCs w:val="0"/>
          <w:color w:val="000000" w:themeColor="text1"/>
          <w:sz w:val="24"/>
          <w:szCs w:val="24"/>
        </w:rPr>
        <w:t>一、磋商文件</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2.磋商文件的澄清</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投标人如对采购文件有疑问要求澄清的，可在2024年5月21日16:00前以书面形式或传真方式递交到我校招标办（澄清函需加盖投标人公章），同时将电子版发送至招标办邮箱</w:t>
      </w:r>
      <w:r>
        <w:rPr>
          <w:rFonts w:hint="eastAsia" w:cs="华文楷体"/>
          <w:color w:val="000000"/>
          <w:sz w:val="24"/>
          <w:szCs w:val="24"/>
        </w:rPr>
        <w:t>zbb@jsnu.edu.cn</w:t>
      </w:r>
      <w:r>
        <w:rPr>
          <w:rFonts w:hint="eastAsia" w:cs="华文楷体" w:asciiTheme="minorEastAsia" w:hAnsiTheme="minorEastAsia" w:eastAsiaTheme="minorEastAsia"/>
          <w:color w:val="000000" w:themeColor="text1"/>
          <w:sz w:val="24"/>
          <w:szCs w:val="24"/>
        </w:rPr>
        <w:t>（电子版包括：澄清函图片格式的扫描件及澄清函内容对应的word文档）。澄清要求，逾期将不再受理。</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3.磋商文件的修改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3.1在投标截止期5日以前任何时候，采购人无论出于何种原因，均可对采购文件用补充文件的方式进行修改。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3.2对采购文件的修改，将通过</w:t>
      </w:r>
      <w:r>
        <w:rPr>
          <w:rFonts w:hint="eastAsia" w:cs="华文楷体" w:asciiTheme="minorEastAsia" w:hAnsiTheme="minorEastAsia" w:eastAsiaTheme="minorEastAsia"/>
          <w:color w:val="000000" w:themeColor="text1"/>
          <w:kern w:val="2"/>
          <w:sz w:val="24"/>
          <w:szCs w:val="24"/>
        </w:rPr>
        <w:t>“江苏师范大学招投标网”（http://ztbb.jsnu.edu.cn/）发布</w:t>
      </w:r>
      <w:r>
        <w:rPr>
          <w:rFonts w:hint="eastAsia" w:cs="华文楷体" w:asciiTheme="minorEastAsia" w:hAnsiTheme="minorEastAsia" w:eastAsiaTheme="minorEastAsia"/>
          <w:color w:val="000000" w:themeColor="text1"/>
          <w:sz w:val="24"/>
          <w:szCs w:val="24"/>
        </w:rPr>
        <w:t>公告。补充文件将作为采购文件的组成部分，对所有领取了采购文件的投标人均具有约束力。</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3.3为使投标人有足够的时间按采购文件的修改要求考虑修正投标文件，采购人可酌情推迟投标日期，并将具体变更情况通过</w:t>
      </w:r>
      <w:r>
        <w:rPr>
          <w:rFonts w:hint="eastAsia" w:cs="华文楷体" w:asciiTheme="minorEastAsia" w:hAnsiTheme="minorEastAsia" w:eastAsiaTheme="minorEastAsia"/>
          <w:color w:val="000000" w:themeColor="text1"/>
          <w:kern w:val="2"/>
          <w:sz w:val="24"/>
          <w:szCs w:val="24"/>
        </w:rPr>
        <w:t xml:space="preserve"> “江苏师范大学招投标网”</w:t>
      </w:r>
      <w:r>
        <w:rPr>
          <w:rFonts w:hint="eastAsia" w:cs="华文楷体" w:asciiTheme="minorEastAsia" w:hAnsiTheme="minorEastAsia" w:eastAsiaTheme="minorEastAsia"/>
          <w:color w:val="000000" w:themeColor="text1"/>
          <w:sz w:val="24"/>
          <w:szCs w:val="24"/>
        </w:rPr>
        <w:t>公告。</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rPr>
        <w:t>4.</w:t>
      </w:r>
      <w:r>
        <w:rPr>
          <w:rFonts w:hint="eastAsia" w:cs="华文楷体" w:asciiTheme="minorEastAsia" w:hAnsiTheme="minorEastAsia" w:eastAsiaTheme="minorEastAsia"/>
          <w:b/>
          <w:sz w:val="24"/>
          <w:szCs w:val="24"/>
        </w:rPr>
        <w:t xml:space="preserve"> 通知</w:t>
      </w:r>
    </w:p>
    <w:p>
      <w:pPr>
        <w:pStyle w:val="25"/>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sz w:val="24"/>
          <w:szCs w:val="24"/>
        </w:rPr>
        <w:t>对与本项目有关的通知，采购人将通过 “江苏师范大学招投标网”发布公告，请投标</w:t>
      </w:r>
      <w:r>
        <w:rPr>
          <w:rFonts w:hint="eastAsia" w:cs="华文楷体" w:asciiTheme="minorEastAsia" w:hAnsiTheme="minorEastAsia" w:eastAsiaTheme="minorEastAsia"/>
          <w:sz w:val="24"/>
          <w:szCs w:val="24"/>
          <w:shd w:val="clear" w:color="auto" w:fill="FFFFFF" w:themeFill="background1"/>
        </w:rPr>
        <w:t>人自行关注。</w:t>
      </w:r>
    </w:p>
    <w:p>
      <w:pPr>
        <w:ind w:firstLine="361" w:firstLineChars="150"/>
        <w:rPr>
          <w:rFonts w:cs="华文楷体" w:asciiTheme="minorEastAsia" w:hAnsiTheme="minorEastAsia" w:eastAsiaTheme="minorEastAsia"/>
          <w:b/>
          <w:sz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p>
    <w:p>
      <w:pPr>
        <w:pStyle w:val="25"/>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sz w:val="24"/>
          <w:szCs w:val="24"/>
        </w:rPr>
        <w:t>本合同分2个阶段支付：合同主体款项阶段，中标方按服务采购要求完成全部服务内容，并经验收合格后支付合同款项的95%；合同质量及服务保证金阶段，在5年免费维保期满后，支付合同款项的5%；最终根据甲方考核评价结果支付相应阶段款项。</w:t>
      </w:r>
    </w:p>
    <w:p>
      <w:pPr>
        <w:widowControl/>
        <w:tabs>
          <w:tab w:val="left" w:pos="990"/>
        </w:tabs>
        <w:adjustRightInd w:val="0"/>
        <w:snapToGrid w:val="0"/>
        <w:spacing w:line="312" w:lineRule="auto"/>
        <w:ind w:firstLine="482" w:firstLineChars="200"/>
        <w:jc w:val="left"/>
        <w:rPr>
          <w:rFonts w:ascii="宋体" w:hAnsi="宋体" w:cs="宋体"/>
          <w:b/>
          <w:bCs/>
          <w:kern w:val="0"/>
          <w:sz w:val="24"/>
          <w:szCs w:val="22"/>
        </w:rPr>
      </w:pPr>
      <w:r>
        <w:rPr>
          <w:rFonts w:hint="eastAsia" w:cs="华文楷体" w:asciiTheme="minorEastAsia" w:hAnsiTheme="minorEastAsia" w:eastAsiaTheme="minorEastAsia"/>
          <w:b/>
          <w:sz w:val="24"/>
          <w:shd w:val="clear" w:color="auto" w:fill="FFFFFF" w:themeFill="background1"/>
          <w:lang w:val="en-US" w:eastAsia="zh-CN"/>
        </w:rPr>
        <w:t>6</w:t>
      </w:r>
      <w:r>
        <w:rPr>
          <w:rFonts w:hint="eastAsia" w:cs="华文楷体" w:asciiTheme="minorEastAsia" w:hAnsiTheme="minorEastAsia" w:eastAsiaTheme="minorEastAsia"/>
          <w:b/>
          <w:sz w:val="24"/>
          <w:shd w:val="clear" w:color="auto" w:fill="FFFFFF" w:themeFill="background1"/>
        </w:rPr>
        <w:t>.采购预算金额（最高限价）：</w:t>
      </w:r>
      <w:r>
        <w:rPr>
          <w:rFonts w:hint="eastAsia" w:ascii="宋体" w:hAnsi="宋体" w:cs="宋体"/>
          <w:bCs/>
          <w:kern w:val="0"/>
          <w:sz w:val="24"/>
          <w:szCs w:val="22"/>
        </w:rPr>
        <w:t>48万元</w:t>
      </w:r>
    </w:p>
    <w:p>
      <w:pPr>
        <w:ind w:firstLine="479" w:firstLineChars="199"/>
        <w:rPr>
          <w:rFonts w:cs="华文楷体" w:asciiTheme="minorEastAsia" w:hAnsiTheme="minorEastAsia" w:eastAsiaTheme="minorEastAsia"/>
          <w:b/>
          <w:sz w:val="24"/>
          <w:shd w:val="clear" w:color="auto" w:fill="FFFFFF" w:themeFill="background1"/>
        </w:rPr>
      </w:pPr>
      <w:r>
        <w:rPr>
          <w:rFonts w:hint="eastAsia" w:cs="华文楷体" w:asciiTheme="minorEastAsia" w:hAnsiTheme="minorEastAsia" w:eastAsiaTheme="minorEastAsia"/>
          <w:b/>
          <w:sz w:val="24"/>
          <w:shd w:val="clear" w:color="auto" w:fill="FFFFFF" w:themeFill="background1"/>
          <w:lang w:val="en-US" w:eastAsia="zh-CN"/>
        </w:rPr>
        <w:t>7</w:t>
      </w:r>
      <w:r>
        <w:rPr>
          <w:rFonts w:hint="eastAsia" w:cs="华文楷体" w:asciiTheme="minorEastAsia" w:hAnsiTheme="minorEastAsia" w:eastAsiaTheme="minorEastAsia"/>
          <w:b/>
          <w:sz w:val="24"/>
          <w:shd w:val="clear" w:color="auto" w:fill="FFFFFF" w:themeFill="background1"/>
        </w:rPr>
        <w:t>.投标人资格条件</w:t>
      </w:r>
    </w:p>
    <w:p>
      <w:pPr>
        <w:pStyle w:val="13"/>
        <w:shd w:val="clear" w:color="auto" w:fill="FFFFFF"/>
        <w:spacing w:before="45" w:beforeAutospacing="0" w:after="45" w:afterAutospacing="0" w:line="315" w:lineRule="atLeast"/>
        <w:ind w:firstLine="480" w:firstLineChars="200"/>
        <w:rPr>
          <w:rFonts w:ascii="微软雅黑" w:hAnsi="微软雅黑" w:eastAsia="微软雅黑"/>
          <w:color w:val="000000"/>
          <w:sz w:val="18"/>
          <w:szCs w:val="18"/>
        </w:rPr>
      </w:pPr>
      <w:r>
        <w:rPr>
          <w:rFonts w:hint="eastAsia"/>
          <w:color w:val="000000"/>
          <w:lang w:val="en-US" w:eastAsia="zh-CN"/>
        </w:rPr>
        <w:t>7</w:t>
      </w:r>
      <w:r>
        <w:rPr>
          <w:color w:val="000000"/>
        </w:rPr>
        <w:t>.1</w:t>
      </w:r>
      <w:r>
        <w:rPr>
          <w:rFonts w:hint="eastAsia"/>
          <w:color w:val="000000"/>
        </w:rPr>
        <w:t>具有独立承担民事责任的能力；</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7</w:t>
      </w:r>
      <w:r>
        <w:rPr>
          <w:color w:val="000000"/>
        </w:rPr>
        <w:t>.2</w:t>
      </w:r>
      <w:r>
        <w:rPr>
          <w:rFonts w:hint="eastAsia"/>
          <w:color w:val="000000"/>
        </w:rPr>
        <w:t>具有良好的商业信誉和健全的财务会计制度；</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7</w:t>
      </w:r>
      <w:r>
        <w:rPr>
          <w:color w:val="000000"/>
        </w:rPr>
        <w:t>.3</w:t>
      </w:r>
      <w:r>
        <w:rPr>
          <w:rFonts w:hint="eastAsia"/>
          <w:color w:val="000000"/>
        </w:rPr>
        <w:t>具有履行合同所必需的设备和专业技术能力；</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7</w:t>
      </w:r>
      <w:r>
        <w:rPr>
          <w:color w:val="000000"/>
        </w:rPr>
        <w:t>.4</w:t>
      </w:r>
      <w:r>
        <w:rPr>
          <w:rFonts w:hint="eastAsia"/>
          <w:color w:val="000000"/>
        </w:rPr>
        <w:t>依法缴纳税收和社会保障资金；</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7</w:t>
      </w:r>
      <w:r>
        <w:rPr>
          <w:color w:val="000000"/>
        </w:rPr>
        <w:t>.5</w:t>
      </w:r>
      <w:r>
        <w:rPr>
          <w:rFonts w:hint="eastAsia"/>
          <w:color w:val="000000"/>
        </w:rPr>
        <w:t>符合法律、行政法规规定的其他条件；</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lang w:val="en-US" w:eastAsia="zh-CN"/>
        </w:rPr>
        <w:t>7</w:t>
      </w:r>
      <w:r>
        <w:rPr>
          <w:color w:val="000000"/>
        </w:rPr>
        <w:t>.6</w:t>
      </w:r>
      <w:r>
        <w:rPr>
          <w:rFonts w:hint="eastAsia"/>
          <w:color w:val="000000"/>
        </w:rPr>
        <w:t>不接受联合体投标，单位负责人为同一人或者存在控股、管理关系的不同单位不得参加同一项目的投标活动。</w:t>
      </w:r>
    </w:p>
    <w:p>
      <w:pPr>
        <w:pStyle w:val="27"/>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二、投标文件</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投标文件的语言和计量单位</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1.1投标人所提供的投标文件包含技术文件、有关资料、说明等，均应使用中文简化字。</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1.2投标文件所使用的计量单位，除工程规范另有规定外，均采用中华人民共和国法定计量单位。</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2.投标文件的组成及相关要求</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2.1投标文件分为商务和技术两个部分，这两部分按照商务与技术的顺序装订成一册。为了方便评审，投标文件中的各项表格必须按照采购文件格式要求制作。</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2.2商务部分指投标人提</w:t>
      </w:r>
      <w:r>
        <w:rPr>
          <w:rFonts w:hint="eastAsia" w:cs="华文楷体" w:asciiTheme="minorEastAsia" w:hAnsiTheme="minorEastAsia" w:eastAsiaTheme="minorEastAsia"/>
          <w:color w:val="000000" w:themeColor="text1"/>
          <w:sz w:val="24"/>
          <w:szCs w:val="24"/>
        </w:rPr>
        <w:t>交的证明其有资格参加投标和成交后有能力履行合同的文件。</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2.3商务文件、技术文件与投标人认为需要编写的技术文件的组成均按本采购文件要</w:t>
      </w:r>
      <w:r>
        <w:rPr>
          <w:rFonts w:hint="eastAsia" w:cs="华文楷体" w:asciiTheme="minorEastAsia" w:hAnsiTheme="minorEastAsia" w:eastAsiaTheme="minorEastAsia"/>
          <w:color w:val="000000" w:themeColor="text1"/>
          <w:sz w:val="24"/>
          <w:szCs w:val="24"/>
        </w:rPr>
        <w:t>求的顺序与内容填写。</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3.投标内容填写说明</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3.3投标人必须保证投标文件所提供的全部资料真实可靠，并接受采购人对其中任何资料进一步审查的要求。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3.4报价一览表要求按格式统一填写，不得自行增减内容。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pPr>
        <w:pStyle w:val="25"/>
        <w:numPr>
          <w:ilvl w:val="0"/>
          <w:numId w:val="0"/>
        </w:numPr>
        <w:spacing w:line="340" w:lineRule="exact"/>
        <w:ind w:left="707" w:leftChars="228" w:hanging="228" w:hangingChars="95"/>
        <w:rPr>
          <w:rFonts w:cs="华文楷体"/>
          <w:color w:val="000000"/>
          <w:sz w:val="24"/>
        </w:rPr>
      </w:pPr>
      <w:r>
        <w:rPr>
          <w:rFonts w:hint="eastAsia" w:cs="华文楷体"/>
          <w:color w:val="000000"/>
          <w:sz w:val="24"/>
        </w:rPr>
        <w:t>3.6</w:t>
      </w:r>
      <w:r>
        <w:rPr>
          <w:rFonts w:hint="eastAsia" w:cs="华文楷体"/>
          <w:b/>
          <w:color w:val="000000"/>
          <w:sz w:val="24"/>
        </w:rPr>
        <w:t>本项目有二次报价环节，二次报价不得高于一次报价；二次报价为最终报价</w:t>
      </w:r>
      <w:r>
        <w:rPr>
          <w:rFonts w:hint="eastAsia" w:cs="华文楷体"/>
          <w:color w:val="000000"/>
          <w:sz w:val="24"/>
        </w:rPr>
        <w:t>。</w:t>
      </w:r>
    </w:p>
    <w:p>
      <w:pPr>
        <w:pStyle w:val="25"/>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4.投标文件的编制</w:t>
      </w:r>
    </w:p>
    <w:p>
      <w:pPr>
        <w:pStyle w:val="25"/>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25"/>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4.1资格审查符合性审查材料索引表；</w:t>
      </w:r>
    </w:p>
    <w:p>
      <w:pPr>
        <w:pStyle w:val="25"/>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4.2评分索引表；</w:t>
      </w:r>
    </w:p>
    <w:p>
      <w:pPr>
        <w:spacing w:line="380" w:lineRule="exact"/>
        <w:ind w:firstLine="468" w:firstLineChars="195"/>
        <w:rPr>
          <w:rFonts w:ascii="宋体" w:hAnsi="宋体"/>
          <w:sz w:val="24"/>
        </w:rPr>
      </w:pPr>
      <w:r>
        <w:rPr>
          <w:rFonts w:hint="eastAsia" w:ascii="宋体" w:hAnsi="宋体"/>
          <w:sz w:val="24"/>
        </w:rPr>
        <w:t>4.3</w:t>
      </w:r>
      <w:r>
        <w:rPr>
          <w:rFonts w:hint="eastAsia" w:ascii="宋体" w:hAnsi="宋体"/>
          <w:b/>
          <w:sz w:val="24"/>
        </w:rPr>
        <w:t>投标函；</w:t>
      </w:r>
    </w:p>
    <w:p>
      <w:pPr>
        <w:spacing w:line="380" w:lineRule="exact"/>
        <w:ind w:firstLine="420" w:firstLineChars="175"/>
        <w:rPr>
          <w:rFonts w:ascii="宋体" w:hAnsi="宋体"/>
          <w:sz w:val="24"/>
        </w:rPr>
      </w:pPr>
      <w:r>
        <w:rPr>
          <w:rFonts w:hint="eastAsia" w:ascii="宋体" w:hAnsi="宋体"/>
          <w:sz w:val="24"/>
        </w:rPr>
        <w:t>4.4投标报价一览表；</w:t>
      </w:r>
    </w:p>
    <w:p>
      <w:pPr>
        <w:spacing w:line="380" w:lineRule="exact"/>
        <w:ind w:firstLine="420"/>
        <w:rPr>
          <w:rFonts w:ascii="宋体" w:hAnsi="宋体"/>
          <w:sz w:val="24"/>
        </w:rPr>
      </w:pPr>
      <w:r>
        <w:rPr>
          <w:rFonts w:hint="eastAsia" w:ascii="宋体" w:hAnsi="宋体"/>
          <w:sz w:val="24"/>
        </w:rPr>
        <w:t>4</w:t>
      </w:r>
      <w:r>
        <w:rPr>
          <w:rFonts w:ascii="宋体" w:hAnsi="宋体"/>
          <w:sz w:val="24"/>
        </w:rPr>
        <w:t>.5</w:t>
      </w:r>
      <w:r>
        <w:rPr>
          <w:rFonts w:hint="eastAsia" w:ascii="宋体" w:hAnsi="宋体"/>
          <w:sz w:val="24"/>
        </w:rPr>
        <w:t>投标报价明细表；</w:t>
      </w:r>
    </w:p>
    <w:p>
      <w:pPr>
        <w:spacing w:line="380" w:lineRule="exact"/>
        <w:ind w:firstLine="420"/>
        <w:rPr>
          <w:rFonts w:ascii="宋体" w:hAnsi="宋体"/>
          <w:sz w:val="24"/>
        </w:rPr>
      </w:pPr>
      <w:r>
        <w:rPr>
          <w:rFonts w:hint="eastAsia" w:ascii="宋体" w:hAnsi="宋体"/>
          <w:sz w:val="24"/>
        </w:rPr>
        <w:t>4.</w:t>
      </w:r>
      <w:r>
        <w:rPr>
          <w:rFonts w:ascii="宋体" w:hAnsi="宋体"/>
          <w:sz w:val="24"/>
        </w:rPr>
        <w:t>6</w:t>
      </w:r>
      <w:r>
        <w:rPr>
          <w:rFonts w:hint="eastAsia" w:ascii="宋体" w:hAnsi="宋体"/>
          <w:b/>
          <w:sz w:val="24"/>
        </w:rPr>
        <w:t>法定代表人的授权委托书（原件封于投标文件正本中）</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.7</w:t>
      </w:r>
      <w:r>
        <w:rPr>
          <w:rFonts w:hint="eastAsia" w:ascii="宋体" w:hAnsi="宋体"/>
          <w:b/>
          <w:sz w:val="24"/>
        </w:rPr>
        <w:t>质保与服务承诺书（如是进口设备需提供厂家授权，原件封于投标文件正本中）</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.8</w:t>
      </w:r>
      <w:r>
        <w:rPr>
          <w:rFonts w:hint="eastAsia" w:ascii="宋体" w:hAnsi="宋体"/>
          <w:b/>
          <w:sz w:val="24"/>
        </w:rPr>
        <w:t>无重大违法记录的书面声明（原件封于投标文件正本中）</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.9</w:t>
      </w:r>
      <w:r>
        <w:rPr>
          <w:rFonts w:hint="eastAsia" w:ascii="宋体" w:hAnsi="宋体"/>
          <w:sz w:val="24"/>
        </w:rPr>
        <w:t>投标单位情况介绍（简要说明）；</w:t>
      </w:r>
    </w:p>
    <w:p>
      <w:pPr>
        <w:spacing w:line="380" w:lineRule="exact"/>
        <w:ind w:firstLine="420"/>
        <w:rPr>
          <w:rFonts w:ascii="宋体" w:hAnsi="宋体"/>
          <w:sz w:val="24"/>
        </w:rPr>
      </w:pPr>
      <w:r>
        <w:rPr>
          <w:rFonts w:hint="eastAsia" w:ascii="宋体" w:hAnsi="宋体"/>
          <w:sz w:val="24"/>
        </w:rPr>
        <w:t>4.</w:t>
      </w:r>
      <w:r>
        <w:rPr>
          <w:rFonts w:ascii="宋体" w:hAnsi="宋体"/>
          <w:sz w:val="24"/>
        </w:rPr>
        <w:t>10</w:t>
      </w:r>
      <w:r>
        <w:rPr>
          <w:rFonts w:hint="eastAsia" w:ascii="宋体" w:hAnsi="宋体"/>
          <w:b/>
          <w:sz w:val="24"/>
        </w:rPr>
        <w:t>企业营业执照复印件；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1</w:t>
      </w:r>
      <w:r>
        <w:rPr>
          <w:rFonts w:hint="eastAsia" w:ascii="宋体" w:hAnsi="宋体"/>
          <w:sz w:val="24"/>
        </w:rPr>
        <w:t>投标人财务状况良好，提供：</w:t>
      </w:r>
    </w:p>
    <w:p>
      <w:pPr>
        <w:spacing w:line="380" w:lineRule="exact"/>
        <w:ind w:firstLine="420"/>
        <w:rPr>
          <w:rFonts w:ascii="宋体" w:hAnsi="宋体"/>
          <w:sz w:val="24"/>
        </w:rPr>
      </w:pPr>
      <w:r>
        <w:rPr>
          <w:rFonts w:hint="eastAsia" w:ascii="宋体" w:hAnsi="宋体"/>
          <w:sz w:val="24"/>
        </w:rPr>
        <w:t>⑴投标人提交首次响应文件时间前6个月内任何1日的资产负债表复印件1份；</w:t>
      </w:r>
    </w:p>
    <w:p>
      <w:pPr>
        <w:spacing w:line="380" w:lineRule="exact"/>
        <w:ind w:firstLine="420"/>
        <w:rPr>
          <w:rFonts w:ascii="宋体" w:hAnsi="宋体"/>
          <w:sz w:val="24"/>
        </w:rPr>
      </w:pPr>
      <w:r>
        <w:rPr>
          <w:rFonts w:hint="eastAsia" w:ascii="宋体" w:hAnsi="宋体"/>
          <w:sz w:val="24"/>
        </w:rPr>
        <w:t>⑵投标人提交首次响应文件时间前6个月内任何1月（不含本公告发布当月）利润表月报表复印件1份。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w:t>
      </w:r>
      <w:r>
        <w:rPr>
          <w:rFonts w:hint="eastAsia" w:ascii="宋体" w:hAnsi="宋体"/>
          <w:sz w:val="24"/>
        </w:rPr>
        <w:t>⑴</w:t>
      </w:r>
      <w:r>
        <w:rPr>
          <w:rFonts w:hint="eastAsia" w:ascii="宋体" w:hAnsi="宋体"/>
          <w:color w:val="000000"/>
          <w:sz w:val="24"/>
        </w:rPr>
        <w:t>、</w:t>
      </w:r>
      <w:r>
        <w:rPr>
          <w:rFonts w:hint="eastAsia" w:ascii="宋体" w:hAnsi="宋体"/>
          <w:sz w:val="24"/>
        </w:rPr>
        <w:t>⑵</w:t>
      </w:r>
      <w:r>
        <w:rPr>
          <w:rFonts w:hint="eastAsia" w:ascii="宋体" w:hAnsi="宋体"/>
          <w:color w:val="000000"/>
          <w:sz w:val="24"/>
        </w:rPr>
        <w:t>要求的材料无法提供时，可提供有审计资格的第三方出具的投标人上一年度财务审计报告复印件。</w:t>
      </w:r>
    </w:p>
    <w:p>
      <w:pPr>
        <w:spacing w:line="380" w:lineRule="exact"/>
        <w:ind w:firstLine="420"/>
        <w:rPr>
          <w:rFonts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1</w:t>
      </w:r>
      <w:r>
        <w:rPr>
          <w:rFonts w:ascii="宋体" w:hAnsi="宋体"/>
          <w:b/>
          <w:sz w:val="24"/>
        </w:rPr>
        <w:t>2</w:t>
      </w:r>
      <w:r>
        <w:rPr>
          <w:rFonts w:hint="eastAsia" w:ascii="宋体" w:hAnsi="宋体"/>
          <w:b/>
          <w:sz w:val="24"/>
        </w:rPr>
        <w:t>商务和技术偏离表；</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3</w:t>
      </w:r>
      <w:r>
        <w:rPr>
          <w:rFonts w:hint="eastAsia" w:ascii="宋体" w:hAnsi="宋体"/>
          <w:sz w:val="24"/>
        </w:rPr>
        <w:t>设备（系统）方案及技术性能详细说明；</w:t>
      </w:r>
    </w:p>
    <w:p>
      <w:pPr>
        <w:spacing w:line="380" w:lineRule="exact"/>
        <w:ind w:firstLine="420"/>
        <w:rPr>
          <w:rFonts w:ascii="宋体" w:hAnsi="宋体"/>
          <w:sz w:val="24"/>
        </w:rPr>
      </w:pPr>
      <w:r>
        <w:rPr>
          <w:rFonts w:ascii="宋体" w:hAnsi="宋体"/>
          <w:sz w:val="24"/>
        </w:rPr>
        <w:t>4.14</w:t>
      </w:r>
      <w:r>
        <w:rPr>
          <w:rFonts w:hint="eastAsia" w:ascii="宋体" w:hAnsi="宋体"/>
          <w:sz w:val="24"/>
        </w:rPr>
        <w:t>主要配置清单（列明主要部件品牌、规格型号等信息）；</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5</w:t>
      </w:r>
      <w:r>
        <w:rPr>
          <w:rFonts w:hint="eastAsia" w:ascii="宋体" w:hAnsi="宋体"/>
          <w:sz w:val="24"/>
        </w:rPr>
        <w:t>设备（系统）供货、安装调试方案；</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6</w:t>
      </w:r>
      <w:r>
        <w:rPr>
          <w:rFonts w:hint="eastAsia" w:ascii="宋体" w:hAnsi="宋体"/>
          <w:sz w:val="24"/>
        </w:rPr>
        <w:t>质保与售后服务方案；</w:t>
      </w:r>
    </w:p>
    <w:p>
      <w:pPr>
        <w:spacing w:line="380" w:lineRule="exact"/>
        <w:ind w:firstLine="420"/>
        <w:rPr>
          <w:rFonts w:ascii="宋体" w:hAnsi="宋体"/>
          <w:sz w:val="24"/>
          <w:shd w:val="clear" w:color="auto" w:fill="FFFFFF" w:themeFill="background1"/>
        </w:rPr>
      </w:pPr>
      <w:r>
        <w:rPr>
          <w:rFonts w:hint="eastAsia" w:ascii="宋体" w:hAnsi="宋体"/>
          <w:sz w:val="24"/>
          <w:shd w:val="clear" w:color="auto" w:fill="FFFFFF" w:themeFill="background1"/>
        </w:rPr>
        <w:t>4.1</w:t>
      </w:r>
      <w:r>
        <w:rPr>
          <w:rFonts w:ascii="宋体" w:hAnsi="宋体"/>
          <w:sz w:val="24"/>
          <w:shd w:val="clear" w:color="auto" w:fill="FFFFFF" w:themeFill="background1"/>
        </w:rPr>
        <w:t>7</w:t>
      </w:r>
      <w:r>
        <w:rPr>
          <w:rFonts w:hint="eastAsia" w:ascii="宋体" w:hAnsi="宋体"/>
          <w:sz w:val="24"/>
          <w:shd w:val="clear" w:color="auto" w:fill="FFFFFF" w:themeFill="background1"/>
        </w:rPr>
        <w:t>企业类似业绩</w:t>
      </w:r>
      <w:r>
        <w:rPr>
          <w:rFonts w:hint="eastAsia" w:ascii="宋体" w:hAnsi="宋体"/>
          <w:b/>
          <w:sz w:val="24"/>
          <w:shd w:val="clear" w:color="auto" w:fill="FFFFFF" w:themeFill="background1"/>
        </w:rPr>
        <w:t>（2021年</w:t>
      </w:r>
      <w:r>
        <w:rPr>
          <w:rFonts w:hint="eastAsia" w:ascii="宋体" w:hAnsi="宋体"/>
          <w:b/>
          <w:sz w:val="24"/>
          <w:shd w:val="clear" w:color="auto" w:fill="FFFFFF" w:themeFill="background1"/>
          <w:lang w:val="en-US" w:eastAsia="zh-CN"/>
        </w:rPr>
        <w:t>5</w:t>
      </w:r>
      <w:r>
        <w:rPr>
          <w:rFonts w:hint="eastAsia" w:ascii="宋体" w:hAnsi="宋体"/>
          <w:b/>
          <w:sz w:val="24"/>
          <w:shd w:val="clear" w:color="auto" w:fill="FFFFFF" w:themeFill="background1"/>
        </w:rPr>
        <w:t>月1日以后的业绩）</w:t>
      </w:r>
      <w:r>
        <w:rPr>
          <w:rFonts w:hint="eastAsia" w:ascii="宋体" w:hAnsi="宋体"/>
          <w:sz w:val="24"/>
          <w:shd w:val="clear" w:color="auto" w:fill="FFFFFF" w:themeFill="background1"/>
        </w:rPr>
        <w:t>；</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8</w:t>
      </w:r>
      <w:r>
        <w:rPr>
          <w:rFonts w:hint="eastAsia" w:ascii="宋体" w:hAnsi="宋体"/>
          <w:sz w:val="24"/>
        </w:rPr>
        <w:t>投标人资格条件中对企业资质有要求时须提供相关资格证书复印件；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9</w:t>
      </w:r>
      <w:r>
        <w:rPr>
          <w:rFonts w:hint="eastAsia" w:ascii="宋体" w:hAnsi="宋体"/>
          <w:sz w:val="24"/>
        </w:rPr>
        <w:t>未被“信用中国”网站（www.creditchina.gov.cn）列入失信执行人、重大税收违法案件当事人名单、政府采购严重违法失信行为记录名单，否则投标无效，须提供信用查询截图。</w:t>
      </w:r>
    </w:p>
    <w:p>
      <w:pPr>
        <w:spacing w:line="380" w:lineRule="exact"/>
        <w:ind w:firstLine="420"/>
        <w:rPr>
          <w:rFonts w:ascii="宋体" w:hAnsi="宋体"/>
          <w:sz w:val="24"/>
        </w:rPr>
      </w:pPr>
      <w:r>
        <w:rPr>
          <w:rFonts w:hint="eastAsia" w:ascii="宋体" w:hAnsi="宋体"/>
          <w:sz w:val="24"/>
        </w:rPr>
        <w:t>4.</w:t>
      </w:r>
      <w:r>
        <w:rPr>
          <w:rFonts w:ascii="宋体" w:hAnsi="宋体"/>
          <w:sz w:val="24"/>
        </w:rPr>
        <w:t>20</w:t>
      </w:r>
      <w:r>
        <w:rPr>
          <w:rFonts w:hint="eastAsia" w:ascii="宋体" w:hAnsi="宋体"/>
          <w:sz w:val="24"/>
        </w:rPr>
        <w:t>采购文件中要求提交的和投标人认为需要提供的其它说明和资料。</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5.1 所有投标均以人民币“元”为计算单位。</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5.2投标人要按报价表(统一格式)的内容填写单价、总价及其他事项，并由法定代表人或投标人代表签署。</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5.3采购人不接受不明确的投标方案和投标，但投标人可投报不同的确定方案。投标人对投标如果有说明应在投标一览表显著处予以注明。</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5.5最低投标价不能作为成交的保证。</w:t>
      </w:r>
    </w:p>
    <w:p>
      <w:pPr>
        <w:pStyle w:val="25"/>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6.投标费用</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6.1 投标人应提供的费用详见“磋商公告”相应要求。</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6.2未按前述各款要求提交费用的将被视为无效投标。</w:t>
      </w:r>
    </w:p>
    <w:p>
      <w:pPr>
        <w:pStyle w:val="25"/>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7.投标文件的有效期</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25"/>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8.投标文件的签署及其他规定</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8.1 组成投标文件的各项文件均应遵守本条。</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hint="eastAsia" w:cs="华文楷体" w:asciiTheme="minorEastAsia" w:hAnsiTheme="minorEastAsia" w:eastAsiaTheme="minorEastAsia"/>
          <w:b/>
          <w:color w:val="000000" w:themeColor="text1"/>
          <w:sz w:val="24"/>
          <w:szCs w:val="24"/>
        </w:rPr>
        <w:t>原件附在投标文件中。</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8.4 投标文件一式5份，其中正本1份，副本4份。</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8.5 投标文件的正本必须用不褪色的蓝黑墨水填写或打印，注明“正本”字样，并由投标人的法定代表人或投标人代表签字。</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8.6 投标文件应字迹清楚、内容齐全、不得涂改和增删。如果有修改错漏处，修改处须有投标人公章及法定代表人或投标人代表签字。</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8.7因投标文件字迹潦草或表达不清所引起的不利后果由投标人承担。</w:t>
      </w: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三、投标文件的递交</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1.投标文件的密封及标记</w:t>
      </w:r>
    </w:p>
    <w:p>
      <w:pPr>
        <w:pStyle w:val="25"/>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1.1投标文件应按以下方法分别装袋密封：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投标文件统一密封为一袋，内装投标文件正副本共一式</w:t>
      </w:r>
      <w:r>
        <w:rPr>
          <w:rFonts w:cs="华文楷体" w:asciiTheme="minorEastAsia" w:hAnsiTheme="minorEastAsia" w:eastAsiaTheme="minorEastAsia"/>
          <w:color w:val="000000" w:themeColor="text1"/>
          <w:sz w:val="24"/>
        </w:rPr>
        <w:t>6</w:t>
      </w:r>
      <w:r>
        <w:rPr>
          <w:rFonts w:hint="eastAsia" w:cs="华文楷体" w:asciiTheme="minorEastAsia" w:hAnsiTheme="minorEastAsia" w:eastAsiaTheme="minorEastAsia"/>
          <w:color w:val="000000" w:themeColor="text1"/>
          <w:sz w:val="24"/>
        </w:rPr>
        <w:t>份（及投标人认为有必要提交的其他资料）。</w:t>
      </w:r>
      <w:r>
        <w:rPr>
          <w:rFonts w:hint="eastAsia" w:ascii="宋体" w:hAnsi="宋体"/>
          <w:sz w:val="24"/>
        </w:rPr>
        <w:t>投标文件正副本装于一个密封袋内，不得分开封装。</w:t>
      </w:r>
      <w:r>
        <w:rPr>
          <w:rFonts w:hint="eastAsia" w:cs="华文楷体" w:asciiTheme="minorEastAsia" w:hAnsiTheme="minorEastAsia" w:eastAsiaTheme="minorEastAsia"/>
          <w:color w:val="000000" w:themeColor="text1"/>
          <w:sz w:val="24"/>
        </w:rPr>
        <w:t>封口处应有法定代表人或投标人代表的签字及投标人公章。封皮上写明项目编号、项目名称、投标人全称、地址，并注明“投标时启封”字样。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2.投标截止时间</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2.1投标文件须按照采购文件规定的时间、地点送达。</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2.2采购人推迟投标截止时间时，采购人和投标人的权利及义务将受到新的截止期的约束。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2.3拒绝接收在提交投标文件截止时间以后送达的投标文件。</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3.投标文件的修改和撤回</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3.2投标人修改投标文件的书面材料，须密封提交，同时应在封套上标明“修改投标文件(并注明项目编号)”和“投标时启封”字样。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3.3在提交投标文件截止时间之后，投标人不得撤回投标。否则撤回投标文件的行为将被记录在案，投标人今后参与同类采购项目的机会可能会受到影响。</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四、开标评标</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1.评标原则</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1.1投标人资格与资质条件是否符合采购文件的要求；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1.2投标人在投标文件中提交的商务和技术文件是否响应本采购文件的要求；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1.3投标人的技术文件是否合理可行；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1.4投标人是否具备良好的经营状况和履行本项目的能力。</w:t>
      </w:r>
    </w:p>
    <w:p>
      <w:pPr>
        <w:pStyle w:val="25"/>
        <w:numPr>
          <w:ilvl w:val="0"/>
          <w:numId w:val="0"/>
        </w:numPr>
        <w:ind w:left="420" w:leftChars="200"/>
        <w:rPr>
          <w:b/>
          <w:sz w:val="24"/>
          <w:szCs w:val="24"/>
        </w:rPr>
      </w:pPr>
      <w:r>
        <w:rPr>
          <w:rFonts w:hint="eastAsia"/>
          <w:b/>
          <w:sz w:val="24"/>
          <w:szCs w:val="24"/>
        </w:rPr>
        <w:t>2.开标</w:t>
      </w:r>
    </w:p>
    <w:p>
      <w:pPr>
        <w:pStyle w:val="25"/>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25"/>
        <w:numPr>
          <w:ilvl w:val="0"/>
          <w:numId w:val="0"/>
        </w:numPr>
        <w:tabs>
          <w:tab w:val="left" w:pos="420"/>
        </w:tabs>
        <w:ind w:left="420" w:leftChars="200"/>
        <w:rPr>
          <w:b/>
          <w:sz w:val="24"/>
          <w:szCs w:val="24"/>
        </w:rPr>
      </w:pPr>
      <w:r>
        <w:rPr>
          <w:rFonts w:hint="eastAsia"/>
          <w:b/>
          <w:sz w:val="24"/>
          <w:szCs w:val="24"/>
        </w:rPr>
        <w:t>4.评标</w:t>
      </w:r>
    </w:p>
    <w:p>
      <w:pPr>
        <w:ind w:firstLine="480" w:firstLineChars="200"/>
        <w:rPr>
          <w:rFonts w:ascii="宋体" w:hAnsi="宋体"/>
          <w:color w:val="000000"/>
          <w:sz w:val="24"/>
        </w:rPr>
      </w:pPr>
      <w:r>
        <w:rPr>
          <w:rFonts w:hint="eastAsia" w:ascii="宋体" w:hAnsi="宋体"/>
          <w:color w:val="000000"/>
          <w:sz w:val="24"/>
        </w:rPr>
        <w:t>在学校监督部门参与下，由我校招标办负责组建的评标小组本着公平、公正的原则，采用综合评分法评标。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五、授予合同</w:t>
      </w:r>
    </w:p>
    <w:p>
      <w:pPr>
        <w:spacing w:line="340" w:lineRule="exact"/>
        <w:ind w:firstLine="482"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b/>
          <w:color w:val="000000" w:themeColor="text1"/>
          <w:sz w:val="24"/>
        </w:rPr>
        <w:t>1.授予合同的顺序</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以此类推。排名第三的投标人因前款规定的同样原因不能签订合同的，该项目另行采购。</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2.采购人拒绝投标的权利</w:t>
      </w:r>
    </w:p>
    <w:p>
      <w:pPr>
        <w:pStyle w:val="25"/>
        <w:numPr>
          <w:ilvl w:val="0"/>
          <w:numId w:val="0"/>
        </w:numPr>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出现下列情况之一时，采购人有权拒绝所有投标，并将理由通知所有投标人：</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rPr>
        <w:t>2.2投标人的投标均超过了</w:t>
      </w:r>
      <w:r>
        <w:rPr>
          <w:rFonts w:hint="eastAsia" w:cs="华文楷体" w:asciiTheme="minorEastAsia" w:hAnsiTheme="minorEastAsia" w:eastAsiaTheme="minorEastAsia"/>
          <w:color w:val="000000" w:themeColor="text1"/>
          <w:sz w:val="24"/>
          <w:shd w:val="clear" w:color="auto" w:fill="FFFFFF" w:themeFill="background1"/>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shd w:val="clear" w:color="auto" w:fill="FFFFFF" w:themeFill="background1"/>
        </w:rPr>
        <w:t>2.3因重大变故，采购任务取消的。</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3.成交通知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3.2采购人同时在江苏师范大学招投标网（http://ztbb.jsnu.edu.cn）发布成交信息。采购人对未成交的投标人不做未成交原因的解释。</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3.3成交通知书是合同的组成部分。</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4.签订合同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4.2成交人应按照采购文件、投标文件及评审过程中有关的澄清说明或补正文件的内容与采购人签订合同。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4.3投标人一旦成交，签订合同后不得分包或转包，否则将被视为成交后撤回投标处理。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成交后无正当理由拒不与采购人签订采购合同或不按约定签订或履行合同，采购人将其失信行为列入不良记录并报省财政厅备案，且3年内禁止在我校参与招投标活动。</w:t>
      </w:r>
    </w:p>
    <w:p>
      <w:pPr>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4.6 合同主要条款详见“磋商公告附件”。</w:t>
      </w:r>
    </w:p>
    <w:p>
      <w:pPr>
        <w:pStyle w:val="27"/>
        <w:spacing w:before="0" w:line="340" w:lineRule="exact"/>
        <w:ind w:firstLine="361" w:firstLineChars="15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六、询问和质疑</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1.投标人有权就招标程序或签订合同的事宜提出质疑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1.4质疑投标人对采购人或对采购人的答复不满意，或采购人未在规定的时间内做出答复的，可以在答复期满后15个工作日内向江苏师范大学有关监督部门投诉。</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七、保密和披露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2.投标人自领取采购文件之日起，须承诺承担本招标项目下的保密义务，不得将因本次招标获得的信息向第三人外传。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3.采购人有权将投标人提供的所有资料向其他政府部门或有关的非政府机构负责评审投标文件的人员或与评审有关的人员披露。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八、无效标书的判定</w:t>
      </w: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投标文件有下列情况之一的，应作为无效投标文件，不再参加评标：</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投标文件中的投标函未加盖投标人的公章的，或者企业法定代表人委托代理人没有合法、有效的委托书（原件）或委托书无委托代理人签字或印章的。</w:t>
      </w:r>
    </w:p>
    <w:p>
      <w:pPr>
        <w:numPr>
          <w:ilvl w:val="0"/>
          <w:numId w:val="3"/>
        </w:numPr>
        <w:ind w:left="0" w:firstLine="480" w:firstLineChars="200"/>
        <w:rPr>
          <w:rFonts w:ascii="宋体" w:hAnsi="宋体"/>
          <w:sz w:val="24"/>
        </w:rPr>
      </w:pPr>
      <w:r>
        <w:rPr>
          <w:rFonts w:hint="eastAsia" w:ascii="宋体" w:hAnsi="宋体"/>
          <w:sz w:val="24"/>
        </w:rPr>
        <w:t>未按采购文件要求缴纳相关费用的。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未按采购文件规定的格式填写，内容不全或关键字模糊、无法辨认的。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投标人名称或组织机构等与原件不一致的。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投标人未通过资格审查和符合性审查的。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投标人资格条件不符合国家有关规定或磋商文件要求的。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明显不符合技术规范、技术标准的要求。</w:t>
      </w:r>
    </w:p>
    <w:p>
      <w:pPr>
        <w:numPr>
          <w:ilvl w:val="0"/>
          <w:numId w:val="3"/>
        </w:numPr>
        <w:spacing w:line="360" w:lineRule="exact"/>
        <w:ind w:left="0" w:firstLine="480" w:firstLineChars="200"/>
        <w:rPr>
          <w:rFonts w:ascii="宋体" w:hAnsi="宋体" w:cs="楷体"/>
          <w:sz w:val="24"/>
          <w:shd w:val="clear" w:color="auto" w:fill="FFFFFF" w:themeFill="background1"/>
        </w:rPr>
      </w:pPr>
      <w:r>
        <w:rPr>
          <w:rFonts w:hint="eastAsia" w:ascii="宋体" w:hAnsi="宋体" w:cs="楷体"/>
          <w:sz w:val="24"/>
        </w:rPr>
        <w:t>投标报价超过磋商文件规</w:t>
      </w:r>
      <w:r>
        <w:rPr>
          <w:rFonts w:hint="eastAsia" w:ascii="宋体" w:hAnsi="宋体" w:cs="楷体"/>
          <w:sz w:val="24"/>
          <w:shd w:val="clear" w:color="auto" w:fill="FFFFFF" w:themeFill="background1"/>
        </w:rPr>
        <w:t>定的最高限价的。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不同投标人的投标文件出现了评标小组认为不应当雷同的情况。</w:t>
      </w:r>
    </w:p>
    <w:p>
      <w:pPr>
        <w:spacing w:line="360" w:lineRule="exact"/>
        <w:ind w:left="480"/>
        <w:rPr>
          <w:rFonts w:ascii="宋体" w:hAnsi="宋体" w:cs="楷体"/>
          <w:sz w:val="24"/>
        </w:rPr>
      </w:pPr>
      <w:r>
        <w:rPr>
          <w:rFonts w:hint="eastAsia" w:ascii="宋体" w:hAnsi="宋体" w:cs="楷体"/>
          <w:sz w:val="24"/>
        </w:rPr>
        <w:t>10.投标文件提出了不能满足磋商文件要求或采购人不能接受的支付办法。</w:t>
      </w:r>
    </w:p>
    <w:p>
      <w:pPr>
        <w:spacing w:line="360" w:lineRule="exact"/>
        <w:ind w:left="480"/>
        <w:rPr>
          <w:rFonts w:ascii="宋体" w:hAnsi="宋体" w:cs="楷体"/>
          <w:sz w:val="24"/>
        </w:rPr>
      </w:pPr>
      <w:r>
        <w:rPr>
          <w:rFonts w:hint="eastAsia" w:ascii="宋体" w:hAnsi="宋体" w:cs="楷体"/>
          <w:sz w:val="24"/>
        </w:rPr>
        <w:t>11.串通投标、以行贿手段谋取中标或者以其他弄虚作假方式投标的。</w:t>
      </w:r>
    </w:p>
    <w:p>
      <w:pPr>
        <w:widowControl/>
        <w:jc w:val="left"/>
        <w:rPr>
          <w:rFonts w:cs="华文楷体" w:asciiTheme="minorEastAsia" w:hAnsiTheme="minorEastAsia" w:eastAsiaTheme="minorEastAsia"/>
          <w:color w:val="000000" w:themeColor="text1"/>
          <w:sz w:val="24"/>
        </w:rPr>
      </w:pPr>
      <w:r>
        <w:rPr>
          <w:rFonts w:cs="华文楷体" w:asciiTheme="minorEastAsia" w:hAnsiTheme="minorEastAsia" w:eastAsiaTheme="minorEastAsia"/>
          <w:color w:val="000000" w:themeColor="text1"/>
          <w:sz w:val="24"/>
        </w:rPr>
        <w:br w:type="page"/>
      </w:r>
    </w:p>
    <w:p>
      <w:pPr>
        <w:spacing w:line="340" w:lineRule="exact"/>
        <w:ind w:firstLine="3500" w:firstLineChars="1245"/>
        <w:rPr>
          <w:rFonts w:cs="华文楷体" w:asciiTheme="minorEastAsia" w:hAnsiTheme="minorEastAsia" w:eastAsiaTheme="minorEastAsia"/>
          <w:b/>
          <w:bCs/>
          <w:color w:val="000000" w:themeColor="text1"/>
          <w:kern w:val="44"/>
          <w:sz w:val="28"/>
          <w:szCs w:val="28"/>
        </w:rPr>
      </w:pPr>
      <w:r>
        <w:rPr>
          <w:rFonts w:hint="eastAsia" w:cs="华文楷体" w:asciiTheme="minorEastAsia" w:hAnsiTheme="minorEastAsia" w:eastAsiaTheme="minorEastAsia"/>
          <w:b/>
          <w:bCs/>
          <w:color w:val="000000" w:themeColor="text1"/>
          <w:kern w:val="44"/>
          <w:sz w:val="28"/>
          <w:szCs w:val="28"/>
        </w:rPr>
        <w:t>第二章项目需求</w:t>
      </w:r>
    </w:p>
    <w:p>
      <w:pPr>
        <w:pStyle w:val="3"/>
        <w:numPr>
          <w:ilvl w:val="0"/>
          <w:numId w:val="4"/>
        </w:numPr>
        <w:spacing w:before="240" w:beforeLines="100" w:after="240" w:afterLines="100" w:line="240" w:lineRule="auto"/>
        <w:rPr>
          <w:sz w:val="28"/>
          <w:szCs w:val="28"/>
        </w:rPr>
      </w:pPr>
      <w:bookmarkStart w:id="0" w:name="_Toc17117"/>
      <w:bookmarkStart w:id="1" w:name="_Toc9818"/>
      <w:bookmarkStart w:id="2" w:name="_Toc19354"/>
      <w:bookmarkStart w:id="3" w:name="_Toc133262596"/>
      <w:bookmarkStart w:id="4" w:name="_Toc1994"/>
      <w:bookmarkStart w:id="5" w:name="_Toc19930"/>
      <w:bookmarkStart w:id="6" w:name="_Toc26556"/>
      <w:bookmarkStart w:id="7" w:name="_Toc28843"/>
      <w:bookmarkStart w:id="8" w:name="_Toc20280"/>
      <w:bookmarkStart w:id="9" w:name="_Toc166425019"/>
      <w:r>
        <w:rPr>
          <w:rFonts w:hint="eastAsia"/>
          <w:sz w:val="28"/>
          <w:szCs w:val="28"/>
        </w:rPr>
        <w:t>项目</w:t>
      </w:r>
      <w:bookmarkEnd w:id="0"/>
      <w:bookmarkEnd w:id="1"/>
      <w:bookmarkEnd w:id="2"/>
      <w:bookmarkEnd w:id="3"/>
      <w:bookmarkEnd w:id="4"/>
      <w:bookmarkEnd w:id="5"/>
      <w:bookmarkEnd w:id="6"/>
      <w:bookmarkEnd w:id="7"/>
      <w:bookmarkEnd w:id="8"/>
      <w:r>
        <w:rPr>
          <w:rFonts w:hint="eastAsia"/>
          <w:sz w:val="28"/>
          <w:szCs w:val="28"/>
        </w:rPr>
        <w:t>建设背景</w:t>
      </w:r>
      <w:bookmarkEnd w:id="9"/>
    </w:p>
    <w:p>
      <w:pPr>
        <w:ind w:firstLine="480" w:firstLineChars="200"/>
        <w:rPr>
          <w:sz w:val="24"/>
          <w:szCs w:val="24"/>
        </w:rPr>
      </w:pPr>
      <w:r>
        <w:rPr>
          <w:rFonts w:hint="eastAsia"/>
          <w:sz w:val="24"/>
          <w:szCs w:val="24"/>
        </w:rPr>
        <w:t>校友资源是学校发展建设中的重要资源，是学校联系社会的重要桥梁和纽带。对母校的人才培养、教学科研、招生就业、校园建设、文化传承等方面起到了积极的推动作用，在“双一流”背景下，校友工作也越来越得到学校的重视。</w:t>
      </w:r>
    </w:p>
    <w:p>
      <w:pPr>
        <w:pStyle w:val="2"/>
        <w:spacing w:after="0"/>
        <w:ind w:firstLine="480" w:firstLineChars="200"/>
        <w:rPr>
          <w:sz w:val="24"/>
          <w:szCs w:val="24"/>
        </w:rPr>
      </w:pPr>
      <w:r>
        <w:rPr>
          <w:sz w:val="24"/>
          <w:szCs w:val="24"/>
        </w:rPr>
        <w:t>校友工作信息化建设是校友工作发展的基础，直接影响着校友工作的水平，也极大影响着校友服务内容的拓展和质量的提升。传统的校友信息</w:t>
      </w:r>
      <w:r>
        <w:rPr>
          <w:rFonts w:hint="eastAsia"/>
          <w:sz w:val="24"/>
          <w:szCs w:val="24"/>
        </w:rPr>
        <w:t>管理</w:t>
      </w:r>
      <w:r>
        <w:rPr>
          <w:sz w:val="24"/>
          <w:szCs w:val="24"/>
        </w:rPr>
        <w:t>往往</w:t>
      </w:r>
      <w:r>
        <w:rPr>
          <w:rFonts w:hint="eastAsia"/>
          <w:sz w:val="24"/>
          <w:szCs w:val="24"/>
        </w:rPr>
        <w:t>还采用表格等方式</w:t>
      </w:r>
      <w:r>
        <w:rPr>
          <w:sz w:val="24"/>
          <w:szCs w:val="24"/>
        </w:rPr>
        <w:t>，校友信息录入、更新全靠</w:t>
      </w:r>
      <w:r>
        <w:rPr>
          <w:rFonts w:hint="eastAsia"/>
          <w:sz w:val="24"/>
          <w:szCs w:val="24"/>
        </w:rPr>
        <w:t>校友</w:t>
      </w:r>
      <w:r>
        <w:rPr>
          <w:sz w:val="24"/>
          <w:szCs w:val="24"/>
        </w:rPr>
        <w:t>工作人员手动录入完成，这导致校友信息收集、更新</w:t>
      </w:r>
      <w:r>
        <w:rPr>
          <w:rFonts w:hint="eastAsia"/>
          <w:sz w:val="24"/>
          <w:szCs w:val="24"/>
        </w:rPr>
        <w:t>低效，校友服务</w:t>
      </w:r>
      <w:r>
        <w:rPr>
          <w:sz w:val="24"/>
          <w:szCs w:val="24"/>
        </w:rPr>
        <w:t>工作缺乏有效抓手。</w:t>
      </w:r>
    </w:p>
    <w:p>
      <w:pPr>
        <w:pStyle w:val="2"/>
        <w:spacing w:after="0"/>
        <w:ind w:firstLine="480" w:firstLineChars="200"/>
        <w:rPr>
          <w:sz w:val="24"/>
          <w:szCs w:val="24"/>
        </w:rPr>
      </w:pPr>
      <w:r>
        <w:rPr>
          <w:rFonts w:hint="eastAsia"/>
          <w:sz w:val="24"/>
          <w:szCs w:val="24"/>
        </w:rPr>
        <w:t>我校已把校友信息化建设作为重要工作内容，本次项目旨在建设一个全生命周期的校友信息管理与服务平台，建立校友数据中心和校友联络感情的虚拟社区，促进校友资源积累和校友会联谊组织的管理，</w:t>
      </w:r>
      <w:r>
        <w:rPr>
          <w:sz w:val="24"/>
          <w:szCs w:val="24"/>
        </w:rPr>
        <w:t>充分利用校友资源，推动学校与校友之间的互动与合作，促进学校的全面发展。</w:t>
      </w:r>
      <w:r>
        <w:rPr>
          <w:rFonts w:hint="eastAsia"/>
          <w:sz w:val="24"/>
          <w:szCs w:val="24"/>
        </w:rPr>
        <w:t>努力构建母校与校友的荣誉共同体、发展共同体和命运共同体。</w:t>
      </w:r>
    </w:p>
    <w:p>
      <w:pPr>
        <w:pStyle w:val="3"/>
        <w:numPr>
          <w:ilvl w:val="0"/>
          <w:numId w:val="4"/>
        </w:numPr>
        <w:spacing w:before="240" w:beforeLines="100" w:after="240" w:afterLines="100" w:line="240" w:lineRule="auto"/>
        <w:rPr>
          <w:sz w:val="28"/>
          <w:szCs w:val="28"/>
        </w:rPr>
      </w:pPr>
      <w:bookmarkStart w:id="10" w:name="_Toc166425020"/>
      <w:bookmarkStart w:id="11" w:name="_Toc133262598"/>
      <w:bookmarkStart w:id="12" w:name="_Toc40867123"/>
      <w:bookmarkStart w:id="13" w:name="_Toc3734"/>
      <w:r>
        <w:rPr>
          <w:rFonts w:hint="eastAsia"/>
          <w:sz w:val="28"/>
          <w:szCs w:val="28"/>
        </w:rPr>
        <w:t>项目建设内容</w:t>
      </w:r>
      <w:bookmarkEnd w:id="10"/>
      <w:bookmarkEnd w:id="11"/>
    </w:p>
    <w:p>
      <w:pPr>
        <w:ind w:firstLine="480" w:firstLineChars="200"/>
        <w:rPr>
          <w:sz w:val="24"/>
          <w:szCs w:val="24"/>
        </w:rPr>
      </w:pPr>
      <w:r>
        <w:rPr>
          <w:rFonts w:hint="eastAsia"/>
          <w:sz w:val="24"/>
          <w:szCs w:val="24"/>
        </w:rPr>
        <w:t>本次项目建设内容主要分为“智慧校友信息系统技术开发服务”和“系统运营及其他服务”二大部分，具体服务内容及要求如下：</w:t>
      </w:r>
    </w:p>
    <w:p>
      <w:pPr>
        <w:spacing w:before="120" w:beforeLines="50"/>
        <w:rPr>
          <w:rFonts w:hint="eastAsia" w:ascii="宋体" w:hAnsi="宋体" w:eastAsia="宋体" w:cs="宋体"/>
          <w:b/>
          <w:bCs/>
          <w:sz w:val="28"/>
          <w:szCs w:val="28"/>
        </w:rPr>
      </w:pPr>
      <w:bookmarkStart w:id="14" w:name="_Toc130125024"/>
      <w:r>
        <w:rPr>
          <w:rFonts w:hint="eastAsia" w:ascii="宋体" w:hAnsi="宋体" w:eastAsia="宋体" w:cs="宋体"/>
          <w:b/>
          <w:bCs/>
          <w:sz w:val="28"/>
          <w:szCs w:val="28"/>
        </w:rPr>
        <w:t>2.1 智慧校友信息系统技术开发服务</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15"/>
        <w:gridCol w:w="5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96" w:type="dxa"/>
            <w:vAlign w:val="center"/>
          </w:tcPr>
          <w:p>
            <w:pPr>
              <w:spacing w:line="240" w:lineRule="auto"/>
              <w:jc w:val="center"/>
              <w:rPr>
                <w:rFonts w:ascii="宋体" w:hAnsi="宋体"/>
                <w:b/>
                <w:bCs/>
                <w:sz w:val="24"/>
                <w:szCs w:val="24"/>
              </w:rPr>
            </w:pPr>
            <w:r>
              <w:rPr>
                <w:rFonts w:hint="eastAsia" w:ascii="宋体" w:hAnsi="宋体"/>
                <w:b/>
                <w:bCs/>
                <w:sz w:val="24"/>
                <w:szCs w:val="24"/>
              </w:rPr>
              <w:t>项目名称</w:t>
            </w:r>
          </w:p>
        </w:tc>
        <w:tc>
          <w:tcPr>
            <w:tcW w:w="1715" w:type="dxa"/>
            <w:vAlign w:val="center"/>
          </w:tcPr>
          <w:p>
            <w:pPr>
              <w:spacing w:line="240" w:lineRule="auto"/>
              <w:jc w:val="center"/>
              <w:rPr>
                <w:rFonts w:ascii="宋体" w:hAnsi="宋体"/>
                <w:b/>
                <w:bCs/>
                <w:sz w:val="24"/>
                <w:szCs w:val="24"/>
              </w:rPr>
            </w:pPr>
            <w:r>
              <w:rPr>
                <w:rFonts w:hint="eastAsia" w:ascii="宋体" w:hAnsi="宋体"/>
                <w:b/>
                <w:bCs/>
                <w:sz w:val="24"/>
                <w:szCs w:val="24"/>
              </w:rPr>
              <w:t>功能模块</w:t>
            </w:r>
          </w:p>
        </w:tc>
        <w:tc>
          <w:tcPr>
            <w:tcW w:w="5656" w:type="dxa"/>
            <w:vAlign w:val="center"/>
          </w:tcPr>
          <w:p>
            <w:pPr>
              <w:spacing w:line="240" w:lineRule="auto"/>
              <w:jc w:val="center"/>
              <w:rPr>
                <w:rFonts w:ascii="宋体" w:hAnsi="宋体"/>
                <w:b/>
                <w:bCs/>
                <w:sz w:val="24"/>
                <w:szCs w:val="24"/>
              </w:rPr>
            </w:pPr>
            <w:r>
              <w:rPr>
                <w:rFonts w:hint="eastAsia" w:ascii="宋体" w:hAnsi="宋体"/>
                <w:b/>
                <w:bCs/>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校友信息管理</w:t>
            </w: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信息管理</w:t>
            </w:r>
          </w:p>
        </w:tc>
        <w:tc>
          <w:tcPr>
            <w:tcW w:w="5656" w:type="dxa"/>
            <w:vAlign w:val="center"/>
          </w:tcPr>
          <w:p>
            <w:pPr>
              <w:spacing w:line="400" w:lineRule="exact"/>
              <w:rPr>
                <w:rFonts w:ascii="宋体" w:hAnsi="宋体"/>
                <w:sz w:val="24"/>
                <w:szCs w:val="24"/>
              </w:rPr>
            </w:pPr>
            <w:r>
              <w:rPr>
                <w:rFonts w:hint="eastAsia" w:ascii="宋体" w:hAnsi="宋体" w:cs="微软雅黑"/>
                <w:color w:val="000000"/>
                <w:sz w:val="24"/>
                <w:szCs w:val="24"/>
                <w:shd w:val="clear" w:color="auto" w:fill="FFFFFF"/>
              </w:rPr>
              <w:t>1、提供校友、在校生、教职工等不同类型校友信息库的统一管理。包括基本信息、联系信息、学籍信息、互动信息、联络信息、档案照片、档案文件、更新日志等多维度信息的管理。支持校友信息字段的自定义配置。</w:t>
            </w:r>
          </w:p>
          <w:p>
            <w:pPr>
              <w:spacing w:line="400" w:lineRule="exact"/>
              <w:rPr>
                <w:rFonts w:ascii="宋体" w:hAnsi="宋体"/>
                <w:sz w:val="24"/>
                <w:szCs w:val="24"/>
              </w:rPr>
            </w:pPr>
            <w:r>
              <w:rPr>
                <w:rFonts w:hint="eastAsia" w:ascii="宋体" w:hAnsi="宋体"/>
                <w:sz w:val="24"/>
                <w:szCs w:val="24"/>
              </w:rPr>
              <w:t>2、</w:t>
            </w:r>
            <w:r>
              <w:rPr>
                <w:rFonts w:hint="eastAsia" w:ascii="Arial" w:hAnsi="Arial" w:cs="微软雅黑"/>
                <w:color w:val="000000"/>
                <w:sz w:val="24"/>
                <w:szCs w:val="24"/>
                <w:shd w:val="clear" w:color="auto" w:fill="FFFFFF"/>
              </w:rPr>
              <w:t>实现普通校友和重点校友的差异化信息管理。支持校友密级的配置。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信息查询</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w:t>
            </w:r>
            <w:r>
              <w:rPr>
                <w:rFonts w:hint="eastAsia" w:ascii="宋体" w:hAnsi="宋体"/>
                <w:sz w:val="24"/>
                <w:szCs w:val="24"/>
              </w:rPr>
              <w:t>表格和</w:t>
            </w:r>
            <w:r>
              <w:rPr>
                <w:rFonts w:ascii="宋体" w:hAnsi="宋体"/>
                <w:sz w:val="24"/>
                <w:szCs w:val="24"/>
              </w:rPr>
              <w:t>树型</w:t>
            </w:r>
            <w:r>
              <w:rPr>
                <w:rFonts w:hint="eastAsia" w:ascii="宋体" w:hAnsi="宋体"/>
                <w:sz w:val="24"/>
                <w:szCs w:val="24"/>
              </w:rPr>
              <w:t>二种视图查询方式。树型结构</w:t>
            </w:r>
            <w:r>
              <w:rPr>
                <w:rFonts w:ascii="宋体" w:hAnsi="宋体"/>
                <w:sz w:val="24"/>
                <w:szCs w:val="24"/>
              </w:rPr>
              <w:t>查询支持入学年份、院系、专业、班级、学历、现属学院等</w:t>
            </w:r>
            <w:r>
              <w:rPr>
                <w:rFonts w:hint="eastAsia" w:ascii="宋体" w:hAnsi="宋体"/>
                <w:sz w:val="24"/>
                <w:szCs w:val="24"/>
              </w:rPr>
              <w:t>字段的灵活</w:t>
            </w:r>
            <w:r>
              <w:rPr>
                <w:rFonts w:ascii="宋体" w:hAnsi="宋体"/>
                <w:sz w:val="24"/>
                <w:szCs w:val="24"/>
              </w:rPr>
              <w:t>配置。</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提供校友信息全字段的组合查询，支持“并且”和“或者”的条件组合。提供查询条件保存功能，再次使用无需重复配置。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校友标签</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提供自定义标签的配置与管理，</w:t>
            </w:r>
            <w:r>
              <w:rPr>
                <w:rFonts w:hint="eastAsia" w:ascii="宋体" w:hAnsi="宋体"/>
                <w:sz w:val="24"/>
                <w:szCs w:val="24"/>
              </w:rPr>
              <w:t>支持多级分类管理。</w:t>
            </w:r>
            <w:r>
              <w:rPr>
                <w:rFonts w:ascii="宋体" w:hAnsi="宋体"/>
                <w:sz w:val="24"/>
                <w:szCs w:val="24"/>
              </w:rPr>
              <w:t>管理员可为每个校友手动设置标签。</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提供智能标签的配置与管理，系统通过配置的条件，自动匹配校友并设置标签。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信息导入</w:t>
            </w:r>
          </w:p>
        </w:tc>
        <w:tc>
          <w:tcPr>
            <w:tcW w:w="5656" w:type="dxa"/>
            <w:vAlign w:val="center"/>
          </w:tcPr>
          <w:p>
            <w:pPr>
              <w:spacing w:line="400" w:lineRule="exact"/>
              <w:rPr>
                <w:rFonts w:ascii="宋体" w:hAnsi="宋体"/>
                <w:sz w:val="24"/>
                <w:szCs w:val="24"/>
              </w:rPr>
            </w:pPr>
            <w:r>
              <w:rPr>
                <w:rFonts w:ascii="宋体" w:hAnsi="宋体"/>
                <w:sz w:val="24"/>
                <w:szCs w:val="24"/>
              </w:rPr>
              <w:t>提供校友信息批量导入功能，提供步骤化、可视化的导入界面。支持导入文件格式自动校验、导入数据自动查重、重复数据处理、导入数据回滚功能。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信息导出</w:t>
            </w:r>
          </w:p>
        </w:tc>
        <w:tc>
          <w:tcPr>
            <w:tcW w:w="5656" w:type="dxa"/>
            <w:vAlign w:val="center"/>
          </w:tcPr>
          <w:p>
            <w:pPr>
              <w:spacing w:line="400" w:lineRule="exact"/>
              <w:rPr>
                <w:rFonts w:ascii="宋体" w:hAnsi="宋体"/>
                <w:sz w:val="24"/>
                <w:szCs w:val="24"/>
              </w:rPr>
            </w:pPr>
            <w:r>
              <w:rPr>
                <w:rFonts w:ascii="宋体" w:hAnsi="宋体"/>
                <w:sz w:val="24"/>
                <w:szCs w:val="24"/>
              </w:rPr>
              <w:t>提供校友信息批量导出功能，可根据查询出的校友信息，选择部分或全选进行导出。支持导出字段的</w:t>
            </w:r>
            <w:r>
              <w:rPr>
                <w:rFonts w:hint="eastAsia" w:ascii="宋体" w:hAnsi="宋体"/>
                <w:sz w:val="24"/>
                <w:szCs w:val="24"/>
              </w:rPr>
              <w:t>可视化</w:t>
            </w:r>
            <w:r>
              <w:rPr>
                <w:rFonts w:ascii="宋体" w:hAnsi="宋体"/>
                <w:sz w:val="24"/>
                <w:szCs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查重、合并、批量更新</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提供校友数据查重功能，管理员可自定义配置查重条件</w:t>
            </w:r>
            <w:r>
              <w:rPr>
                <w:rFonts w:hint="eastAsia" w:ascii="宋体" w:hAnsi="宋体"/>
                <w:sz w:val="24"/>
                <w:szCs w:val="24"/>
              </w:rPr>
              <w:t>，</w:t>
            </w:r>
            <w:r>
              <w:rPr>
                <w:rFonts w:ascii="宋体" w:hAnsi="宋体"/>
                <w:sz w:val="24"/>
                <w:szCs w:val="24"/>
              </w:rPr>
              <w:t>重复数据</w:t>
            </w:r>
            <w:r>
              <w:rPr>
                <w:rFonts w:hint="eastAsia" w:ascii="宋体" w:hAnsi="宋体"/>
                <w:sz w:val="24"/>
                <w:szCs w:val="24"/>
              </w:rPr>
              <w:t>提供</w:t>
            </w:r>
            <w:r>
              <w:rPr>
                <w:rFonts w:ascii="宋体" w:hAnsi="宋体"/>
                <w:sz w:val="24"/>
                <w:szCs w:val="24"/>
              </w:rPr>
              <w:t>智能合并和手动合并</w:t>
            </w:r>
            <w:r>
              <w:rPr>
                <w:rFonts w:hint="eastAsia" w:ascii="宋体" w:hAnsi="宋体"/>
                <w:sz w:val="24"/>
                <w:szCs w:val="24"/>
              </w:rPr>
              <w:t>二种处理方式</w:t>
            </w:r>
            <w:r>
              <w:rPr>
                <w:rFonts w:ascii="宋体" w:hAnsi="宋体"/>
                <w:sz w:val="24"/>
                <w:szCs w:val="24"/>
              </w:rPr>
              <w:t>。</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提供校友数据合并功能，</w:t>
            </w:r>
            <w:r>
              <w:rPr>
                <w:rFonts w:hint="eastAsia" w:ascii="宋体" w:hAnsi="宋体"/>
                <w:sz w:val="24"/>
                <w:szCs w:val="24"/>
              </w:rPr>
              <w:t>管理员可手动合并重复数据，</w:t>
            </w:r>
            <w:r>
              <w:rPr>
                <w:rFonts w:ascii="宋体" w:hAnsi="宋体"/>
                <w:sz w:val="24"/>
                <w:szCs w:val="24"/>
              </w:rPr>
              <w:t>支持</w:t>
            </w:r>
            <w:r>
              <w:rPr>
                <w:rFonts w:hint="eastAsia" w:ascii="宋体" w:hAnsi="宋体"/>
                <w:sz w:val="24"/>
                <w:szCs w:val="24"/>
              </w:rPr>
              <w:t>合并</w:t>
            </w:r>
            <w:r>
              <w:rPr>
                <w:rFonts w:ascii="宋体" w:hAnsi="宋体"/>
                <w:sz w:val="24"/>
                <w:szCs w:val="24"/>
              </w:rPr>
              <w:t>数据回滚</w:t>
            </w:r>
            <w:r>
              <w:rPr>
                <w:rFonts w:hint="eastAsia" w:ascii="宋体" w:hAnsi="宋体"/>
                <w:sz w:val="24"/>
                <w:szCs w:val="24"/>
              </w:rPr>
              <w:t>操作</w:t>
            </w:r>
            <w:r>
              <w:rPr>
                <w:rFonts w:ascii="宋体" w:hAnsi="宋体"/>
                <w:sz w:val="24"/>
                <w:szCs w:val="24"/>
              </w:rPr>
              <w:t>。</w:t>
            </w:r>
          </w:p>
          <w:p>
            <w:pPr>
              <w:spacing w:line="400" w:lineRule="exact"/>
              <w:rPr>
                <w:rFonts w:ascii="宋体" w:hAnsi="宋体"/>
                <w:sz w:val="24"/>
                <w:szCs w:val="24"/>
              </w:rPr>
            </w:pPr>
            <w:r>
              <w:rPr>
                <w:rFonts w:hint="eastAsia" w:ascii="宋体" w:hAnsi="宋体"/>
                <w:sz w:val="24"/>
                <w:szCs w:val="24"/>
              </w:rPr>
              <w:t>3、</w:t>
            </w:r>
            <w:r>
              <w:rPr>
                <w:rFonts w:ascii="宋体" w:hAnsi="宋体"/>
                <w:sz w:val="24"/>
                <w:szCs w:val="24"/>
              </w:rPr>
              <w:t>提供校友数据批量更新功能，管理员可自定义配置更新条件进行数据的批量更新，支持更新数据回滚</w:t>
            </w:r>
            <w:r>
              <w:rPr>
                <w:rFonts w:hint="eastAsia" w:ascii="宋体" w:hAnsi="宋体"/>
                <w:sz w:val="24"/>
                <w:szCs w:val="24"/>
              </w:rPr>
              <w:t>操作</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400" w:lineRule="exact"/>
              <w:jc w:val="center"/>
              <w:rPr>
                <w:rFonts w:ascii="Arial" w:hAnsi="Arial"/>
                <w:sz w:val="24"/>
                <w:szCs w:val="24"/>
              </w:rPr>
            </w:pPr>
            <w:r>
              <w:rPr>
                <w:rFonts w:hint="eastAsia" w:ascii="Arial" w:hAnsi="Arial"/>
                <w:sz w:val="24"/>
                <w:szCs w:val="24"/>
              </w:rPr>
              <w:t>学籍纠错</w:t>
            </w:r>
          </w:p>
        </w:tc>
        <w:tc>
          <w:tcPr>
            <w:tcW w:w="5656" w:type="dxa"/>
            <w:vAlign w:val="center"/>
          </w:tcPr>
          <w:p>
            <w:pPr>
              <w:spacing w:line="400" w:lineRule="exact"/>
              <w:rPr>
                <w:rFonts w:ascii="Arial" w:hAnsi="Arial"/>
                <w:sz w:val="24"/>
                <w:szCs w:val="24"/>
              </w:rPr>
            </w:pPr>
            <w:r>
              <w:rPr>
                <w:rFonts w:hint="eastAsia" w:ascii="Arial" w:hAnsi="Arial"/>
                <w:sz w:val="24"/>
                <w:szCs w:val="24"/>
              </w:rPr>
              <w:t>提供</w:t>
            </w:r>
            <w:r>
              <w:rPr>
                <w:rFonts w:ascii="Arial" w:hAnsi="Arial"/>
                <w:sz w:val="24"/>
                <w:szCs w:val="24"/>
              </w:rPr>
              <w:t>用户前台学籍纠错功能，校友可在线提交学籍纠错申请，上传相关证明资料，经管理员审核通过后，即可自动更新错误的学籍信息。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自动更新</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提供校友信息自动更新功能，系统</w:t>
            </w:r>
            <w:r>
              <w:rPr>
                <w:rFonts w:hint="eastAsia" w:ascii="宋体" w:hAnsi="宋体"/>
                <w:sz w:val="24"/>
                <w:szCs w:val="24"/>
              </w:rPr>
              <w:t>定时将校友的平台互动数据自</w:t>
            </w:r>
            <w:r>
              <w:rPr>
                <w:rFonts w:ascii="宋体" w:hAnsi="宋体"/>
                <w:sz w:val="24"/>
                <w:szCs w:val="24"/>
              </w:rPr>
              <w:t>动同步并更新至校友数据库</w:t>
            </w:r>
            <w:r>
              <w:rPr>
                <w:rFonts w:hint="eastAsia" w:ascii="宋体" w:hAnsi="宋体"/>
                <w:sz w:val="24"/>
                <w:szCs w:val="24"/>
              </w:rPr>
              <w:t>，并可根据学校实际需求自定义配置更新规则。</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提供更新日志审计功能，总会管理员可以查看校友数据库所有更新记录，包括操作人、操作时间、更新方式、更新内容等。支持更新记录回滚</w:t>
            </w:r>
            <w:r>
              <w:rPr>
                <w:rFonts w:hint="eastAsia" w:ascii="宋体" w:hAnsi="宋体"/>
                <w:sz w:val="24"/>
                <w:szCs w:val="24"/>
              </w:rPr>
              <w:t>操作</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统计分析</w:t>
            </w:r>
          </w:p>
        </w:tc>
        <w:tc>
          <w:tcPr>
            <w:tcW w:w="5656" w:type="dxa"/>
            <w:vAlign w:val="center"/>
          </w:tcPr>
          <w:p>
            <w:pPr>
              <w:spacing w:line="400" w:lineRule="exact"/>
              <w:rPr>
                <w:rFonts w:ascii="宋体" w:hAnsi="宋体"/>
                <w:sz w:val="24"/>
                <w:szCs w:val="24"/>
              </w:rPr>
            </w:pPr>
            <w:r>
              <w:rPr>
                <w:rFonts w:ascii="宋体" w:hAnsi="宋体"/>
                <w:sz w:val="24"/>
                <w:szCs w:val="24"/>
              </w:rPr>
              <w:t>提供校友数据统计与分析功能，包括校友统计、属性分析、地区分析、院系分析、行业分析、专业分析等，支持可视化图表展示</w:t>
            </w:r>
            <w:r>
              <w:rPr>
                <w:rFonts w:hint="eastAsia" w:ascii="宋体" w:hAnsi="宋体"/>
                <w:sz w:val="24"/>
                <w:szCs w:val="24"/>
              </w:rPr>
              <w:t>及</w:t>
            </w:r>
            <w:r>
              <w:rPr>
                <w:rFonts w:ascii="宋体" w:hAnsi="宋体"/>
                <w:sz w:val="24"/>
                <w:szCs w:val="24"/>
              </w:rPr>
              <w:t>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Arial" w:hAnsi="Arial"/>
                <w:sz w:val="24"/>
                <w:szCs w:val="24"/>
              </w:rPr>
            </w:pPr>
            <w:r>
              <w:rPr>
                <w:rFonts w:hint="eastAsia" w:ascii="宋体" w:hAnsi="宋体"/>
                <w:sz w:val="24"/>
                <w:szCs w:val="24"/>
              </w:rPr>
              <w:t>权限控制</w:t>
            </w:r>
          </w:p>
        </w:tc>
        <w:tc>
          <w:tcPr>
            <w:tcW w:w="5656" w:type="dxa"/>
            <w:vAlign w:val="center"/>
          </w:tcPr>
          <w:p>
            <w:pPr>
              <w:spacing w:line="400" w:lineRule="exact"/>
              <w:rPr>
                <w:rFonts w:ascii="宋体" w:hAnsi="宋体"/>
                <w:sz w:val="24"/>
                <w:szCs w:val="24"/>
              </w:rPr>
            </w:pPr>
            <w:r>
              <w:rPr>
                <w:rFonts w:hint="eastAsia" w:ascii="宋体" w:hAnsi="宋体"/>
                <w:sz w:val="24"/>
                <w:szCs w:val="24"/>
              </w:rPr>
              <w:t>1、提供</w:t>
            </w:r>
            <w:r>
              <w:rPr>
                <w:rFonts w:ascii="宋体" w:hAnsi="宋体"/>
                <w:sz w:val="24"/>
                <w:szCs w:val="24"/>
              </w:rPr>
              <w:t>校友数据权限</w:t>
            </w:r>
            <w:r>
              <w:rPr>
                <w:rFonts w:hint="eastAsia" w:ascii="宋体" w:hAnsi="宋体"/>
                <w:sz w:val="24"/>
                <w:szCs w:val="24"/>
              </w:rPr>
              <w:t>配置功能，</w:t>
            </w:r>
            <w:r>
              <w:rPr>
                <w:rFonts w:ascii="宋体" w:hAnsi="宋体"/>
                <w:sz w:val="24"/>
                <w:szCs w:val="24"/>
              </w:rPr>
              <w:t>可配置到</w:t>
            </w:r>
            <w:r>
              <w:rPr>
                <w:rFonts w:hint="eastAsia" w:ascii="宋体" w:hAnsi="宋体"/>
                <w:sz w:val="24"/>
                <w:szCs w:val="24"/>
              </w:rPr>
              <w:t>各个</w:t>
            </w:r>
            <w:r>
              <w:rPr>
                <w:rFonts w:ascii="宋体" w:hAnsi="宋体"/>
                <w:sz w:val="24"/>
                <w:szCs w:val="24"/>
              </w:rPr>
              <w:t>现属学院</w:t>
            </w:r>
            <w:r>
              <w:rPr>
                <w:rFonts w:hint="eastAsia" w:ascii="宋体" w:hAnsi="宋体"/>
                <w:sz w:val="24"/>
                <w:szCs w:val="24"/>
              </w:rPr>
              <w:t>，学院管理员可以管理本学院的校友数据。</w:t>
            </w:r>
          </w:p>
          <w:p>
            <w:pPr>
              <w:spacing w:line="400" w:lineRule="exact"/>
              <w:rPr>
                <w:rFonts w:ascii="Arial" w:hAnsi="Arial"/>
                <w:sz w:val="24"/>
                <w:szCs w:val="24"/>
              </w:rPr>
            </w:pPr>
            <w:r>
              <w:rPr>
                <w:rFonts w:hint="eastAsia" w:ascii="宋体" w:hAnsi="宋体"/>
                <w:sz w:val="24"/>
                <w:szCs w:val="24"/>
              </w:rPr>
              <w:t>2、提供密级访问控制功能，通过多级密级控制重要字段的访问，</w:t>
            </w:r>
            <w:r>
              <w:rPr>
                <w:rFonts w:ascii="宋体" w:hAnsi="宋体"/>
                <w:sz w:val="24"/>
                <w:szCs w:val="24"/>
              </w:rPr>
              <w:t>实现校友数据多层控制，保证数据安全。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校友统一身份认证</w:t>
            </w: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用户</w:t>
            </w:r>
            <w:r>
              <w:rPr>
                <w:rFonts w:ascii="宋体" w:hAnsi="宋体"/>
                <w:sz w:val="24"/>
                <w:szCs w:val="24"/>
              </w:rPr>
              <w:t>注册与登录</w:t>
            </w:r>
          </w:p>
        </w:tc>
        <w:tc>
          <w:tcPr>
            <w:tcW w:w="5656" w:type="dxa"/>
            <w:vAlign w:val="center"/>
          </w:tcPr>
          <w:p>
            <w:pPr>
              <w:spacing w:line="400" w:lineRule="exact"/>
              <w:rPr>
                <w:rFonts w:ascii="宋体" w:hAnsi="宋体"/>
                <w:sz w:val="24"/>
                <w:szCs w:val="24"/>
              </w:rPr>
            </w:pPr>
            <w:r>
              <w:rPr>
                <w:rFonts w:ascii="宋体" w:hAnsi="宋体"/>
                <w:sz w:val="24"/>
                <w:szCs w:val="24"/>
              </w:rPr>
              <w:t>提供用户注册与登录服务，</w:t>
            </w:r>
            <w:r>
              <w:rPr>
                <w:rFonts w:hint="eastAsia" w:ascii="宋体" w:hAnsi="宋体"/>
                <w:sz w:val="24"/>
                <w:szCs w:val="24"/>
              </w:rPr>
              <w:t>提供</w:t>
            </w:r>
            <w:r>
              <w:rPr>
                <w:rFonts w:ascii="宋体" w:hAnsi="宋体"/>
                <w:sz w:val="24"/>
                <w:szCs w:val="24"/>
              </w:rPr>
              <w:t>手机验证码</w:t>
            </w:r>
            <w:r>
              <w:rPr>
                <w:rFonts w:hint="eastAsia" w:ascii="宋体" w:hAnsi="宋体"/>
                <w:sz w:val="24"/>
                <w:szCs w:val="24"/>
              </w:rPr>
              <w:t>、</w:t>
            </w:r>
            <w:r>
              <w:rPr>
                <w:rFonts w:ascii="宋体" w:hAnsi="宋体"/>
                <w:sz w:val="24"/>
                <w:szCs w:val="24"/>
              </w:rPr>
              <w:t>微信手机号授权</w:t>
            </w:r>
            <w:r>
              <w:rPr>
                <w:rFonts w:hint="eastAsia" w:ascii="宋体" w:hAnsi="宋体"/>
                <w:sz w:val="24"/>
                <w:szCs w:val="24"/>
              </w:rPr>
              <w:t>及</w:t>
            </w:r>
            <w:r>
              <w:rPr>
                <w:rFonts w:ascii="宋体" w:hAnsi="宋体"/>
                <w:sz w:val="24"/>
                <w:szCs w:val="24"/>
              </w:rPr>
              <w:t>账号密码</w:t>
            </w:r>
            <w:r>
              <w:rPr>
                <w:rFonts w:hint="eastAsia" w:ascii="宋体" w:hAnsi="宋体"/>
                <w:sz w:val="24"/>
                <w:szCs w:val="24"/>
              </w:rPr>
              <w:t>三种登录方式</w:t>
            </w:r>
            <w:r>
              <w:rPr>
                <w:rFonts w:ascii="宋体" w:hAnsi="宋体"/>
                <w:sz w:val="24"/>
                <w:szCs w:val="24"/>
              </w:rPr>
              <w:t>。</w:t>
            </w:r>
            <w:r>
              <w:rPr>
                <w:rFonts w:hint="eastAsia" w:ascii="宋体" w:hAnsi="宋体"/>
                <w:sz w:val="24"/>
                <w:szCs w:val="24"/>
              </w:rPr>
              <w:t>还需支持学校统一身份认证登录。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校友身份认证</w:t>
            </w:r>
          </w:p>
        </w:tc>
        <w:tc>
          <w:tcPr>
            <w:tcW w:w="5656" w:type="dxa"/>
            <w:vAlign w:val="center"/>
          </w:tcPr>
          <w:p>
            <w:pPr>
              <w:spacing w:line="400" w:lineRule="exact"/>
              <w:rPr>
                <w:rFonts w:ascii="宋体" w:hAnsi="宋体"/>
                <w:sz w:val="24"/>
                <w:szCs w:val="24"/>
              </w:rPr>
            </w:pPr>
            <w:r>
              <w:rPr>
                <w:rFonts w:ascii="宋体" w:hAnsi="宋体"/>
                <w:sz w:val="24"/>
                <w:szCs w:val="24"/>
              </w:rPr>
              <w:t>提供校友身份认证服务，服务</w:t>
            </w:r>
            <w:r>
              <w:rPr>
                <w:rFonts w:hint="eastAsia" w:ascii="宋体" w:hAnsi="宋体"/>
                <w:sz w:val="24"/>
                <w:szCs w:val="24"/>
              </w:rPr>
              <w:t>需</w:t>
            </w:r>
            <w:r>
              <w:rPr>
                <w:rFonts w:ascii="宋体" w:hAnsi="宋体"/>
                <w:sz w:val="24"/>
                <w:szCs w:val="24"/>
              </w:rPr>
              <w:t>采用实名认证和校友身份认证相结合的方式，保证校友身份认证的准确性。实名认证支持与公安系统的人脸识别比对</w:t>
            </w:r>
            <w:r>
              <w:rPr>
                <w:rFonts w:hint="eastAsia" w:ascii="宋体" w:hAnsi="宋体"/>
                <w:sz w:val="24"/>
                <w:szCs w:val="24"/>
              </w:rPr>
              <w:t>，</w:t>
            </w:r>
            <w:r>
              <w:rPr>
                <w:rFonts w:ascii="宋体" w:hAnsi="宋体"/>
                <w:sz w:val="24"/>
                <w:szCs w:val="24"/>
              </w:rPr>
              <w:t>校友身份认证提供信息智能认证和人工审核认证二种方式，人工审核认证可自动分发到各学院管理员协同审核处理。后台支持智能认证规则和认证信息表单的</w:t>
            </w:r>
            <w:r>
              <w:rPr>
                <w:rFonts w:hint="eastAsia" w:ascii="宋体" w:hAnsi="宋体"/>
                <w:sz w:val="24"/>
                <w:szCs w:val="24"/>
              </w:rPr>
              <w:t>自定义配</w:t>
            </w:r>
            <w:r>
              <w:rPr>
                <w:rFonts w:ascii="宋体" w:hAnsi="宋体"/>
                <w:sz w:val="24"/>
                <w:szCs w:val="24"/>
              </w:rPr>
              <w:t>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ascii="宋体" w:hAnsi="宋体"/>
                <w:sz w:val="24"/>
                <w:szCs w:val="24"/>
              </w:rPr>
              <w:t>移动端认证审核</w:t>
            </w:r>
          </w:p>
        </w:tc>
        <w:tc>
          <w:tcPr>
            <w:tcW w:w="5656" w:type="dxa"/>
            <w:vAlign w:val="center"/>
          </w:tcPr>
          <w:p>
            <w:pPr>
              <w:spacing w:line="400" w:lineRule="exact"/>
              <w:rPr>
                <w:rFonts w:ascii="宋体" w:hAnsi="宋体"/>
                <w:sz w:val="24"/>
                <w:szCs w:val="24"/>
              </w:rPr>
            </w:pPr>
            <w:r>
              <w:rPr>
                <w:rFonts w:ascii="宋体" w:hAnsi="宋体"/>
                <w:sz w:val="24"/>
                <w:szCs w:val="24"/>
              </w:rPr>
              <w:t>提供移动端认证审核功能，总会或学院管理员可以通过手机进行人工审核认证。</w:t>
            </w:r>
            <w:r>
              <w:rPr>
                <w:rFonts w:hint="eastAsia" w:ascii="宋体" w:hAnsi="宋体"/>
                <w:sz w:val="24"/>
                <w:szCs w:val="24"/>
              </w:rPr>
              <w:t>系统提供智能辅助认证功能，协助管理员高效处理审核服务。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统计分析</w:t>
            </w:r>
          </w:p>
        </w:tc>
        <w:tc>
          <w:tcPr>
            <w:tcW w:w="5656" w:type="dxa"/>
            <w:vAlign w:val="center"/>
          </w:tcPr>
          <w:p>
            <w:pPr>
              <w:spacing w:line="400" w:lineRule="exact"/>
              <w:rPr>
                <w:rFonts w:ascii="宋体" w:hAnsi="宋体"/>
                <w:sz w:val="24"/>
                <w:szCs w:val="24"/>
              </w:rPr>
            </w:pPr>
            <w:r>
              <w:rPr>
                <w:rFonts w:ascii="宋体" w:hAnsi="宋体"/>
                <w:sz w:val="24"/>
                <w:szCs w:val="24"/>
              </w:rPr>
              <w:t>提供校友认证统计分析功能，包括校友认证数据统计、认证方式分析、院系认证分析、年级认证分析等。支持可视化图表展示，支持数据导出。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校友组织运营管理</w:t>
            </w: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组织管理</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提供校友组织的创建与管理，包括地方分会、院系分会、行业分会、兴趣组织等组织类型。支持管理员后台直接创建和校友</w:t>
            </w:r>
            <w:r>
              <w:rPr>
                <w:rFonts w:hint="eastAsia" w:ascii="宋体" w:hAnsi="宋体"/>
                <w:sz w:val="24"/>
                <w:szCs w:val="24"/>
              </w:rPr>
              <w:t>在线</w:t>
            </w:r>
            <w:r>
              <w:rPr>
                <w:rFonts w:ascii="宋体" w:hAnsi="宋体"/>
                <w:sz w:val="24"/>
                <w:szCs w:val="24"/>
              </w:rPr>
              <w:t>申请创建二种方式。</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提供组织审核管理功能，总会管理员可对校友申请创建的组织进行审核并创建。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组织信息</w:t>
            </w:r>
          </w:p>
        </w:tc>
        <w:tc>
          <w:tcPr>
            <w:tcW w:w="5656" w:type="dxa"/>
            <w:vAlign w:val="center"/>
          </w:tcPr>
          <w:p>
            <w:pPr>
              <w:spacing w:line="400" w:lineRule="exact"/>
              <w:rPr>
                <w:rFonts w:ascii="宋体" w:hAnsi="宋体"/>
                <w:sz w:val="24"/>
                <w:szCs w:val="24"/>
              </w:rPr>
            </w:pPr>
            <w:r>
              <w:rPr>
                <w:rFonts w:ascii="宋体" w:hAnsi="宋体"/>
                <w:sz w:val="24"/>
                <w:szCs w:val="24"/>
              </w:rPr>
              <w:t>提供组织信息维护功能，</w:t>
            </w:r>
            <w:r>
              <w:rPr>
                <w:rFonts w:hint="eastAsia" w:ascii="宋体" w:hAnsi="宋体"/>
                <w:sz w:val="24"/>
                <w:szCs w:val="24"/>
              </w:rPr>
              <w:t>分会</w:t>
            </w:r>
            <w:r>
              <w:rPr>
                <w:rFonts w:ascii="宋体" w:hAnsi="宋体"/>
                <w:sz w:val="24"/>
                <w:szCs w:val="24"/>
              </w:rPr>
              <w:t>管理员可以编辑组织相关信息，包括基本信息、联系信息等。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理事会管理</w:t>
            </w:r>
          </w:p>
        </w:tc>
        <w:tc>
          <w:tcPr>
            <w:tcW w:w="5656" w:type="dxa"/>
            <w:vAlign w:val="center"/>
          </w:tcPr>
          <w:p>
            <w:pPr>
              <w:spacing w:line="400" w:lineRule="exact"/>
              <w:rPr>
                <w:rFonts w:ascii="宋体" w:hAnsi="宋体"/>
                <w:sz w:val="24"/>
                <w:szCs w:val="24"/>
              </w:rPr>
            </w:pPr>
            <w:r>
              <w:rPr>
                <w:rFonts w:ascii="宋体" w:hAnsi="宋体"/>
                <w:sz w:val="24"/>
                <w:szCs w:val="24"/>
              </w:rPr>
              <w:t>提供组织理事会管理功能，包括组织架构和理事会议的信息管理。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成员管理</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提供组织成员管理功能，</w:t>
            </w:r>
            <w:r>
              <w:rPr>
                <w:rFonts w:hint="eastAsia" w:ascii="宋体" w:hAnsi="宋体"/>
                <w:sz w:val="24"/>
                <w:szCs w:val="24"/>
              </w:rPr>
              <w:t>分会</w:t>
            </w:r>
            <w:r>
              <w:rPr>
                <w:rFonts w:ascii="宋体" w:hAnsi="宋体"/>
                <w:sz w:val="24"/>
                <w:szCs w:val="24"/>
              </w:rPr>
              <w:t>管理员可以对组织的成员进行统一管理。提供组织成员通讯</w:t>
            </w:r>
            <w:r>
              <w:rPr>
                <w:rFonts w:hint="eastAsia" w:ascii="宋体" w:hAnsi="宋体"/>
                <w:sz w:val="24"/>
                <w:szCs w:val="24"/>
              </w:rPr>
              <w:t>录线上</w:t>
            </w:r>
            <w:r>
              <w:rPr>
                <w:rFonts w:ascii="宋体" w:hAnsi="宋体"/>
                <w:sz w:val="24"/>
                <w:szCs w:val="24"/>
              </w:rPr>
              <w:t>收集功能</w:t>
            </w:r>
            <w:r>
              <w:rPr>
                <w:rFonts w:hint="eastAsia" w:ascii="宋体" w:hAnsi="宋体"/>
                <w:sz w:val="24"/>
                <w:szCs w:val="24"/>
              </w:rPr>
              <w:t>，提供组织成员自动加入配置功能</w:t>
            </w:r>
            <w:r>
              <w:rPr>
                <w:rFonts w:ascii="宋体" w:hAnsi="宋体"/>
                <w:sz w:val="24"/>
                <w:szCs w:val="24"/>
              </w:rPr>
              <w:t>。</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提供成员加入审核功能，</w:t>
            </w:r>
            <w:r>
              <w:rPr>
                <w:rFonts w:hint="eastAsia" w:ascii="宋体" w:hAnsi="宋体"/>
                <w:sz w:val="24"/>
                <w:szCs w:val="24"/>
              </w:rPr>
              <w:t>分会</w:t>
            </w:r>
            <w:r>
              <w:rPr>
                <w:rFonts w:ascii="宋体" w:hAnsi="宋体"/>
                <w:sz w:val="24"/>
                <w:szCs w:val="24"/>
              </w:rPr>
              <w:t>管理员可以对申请加入组织的校友进行审核处理。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组织活动</w:t>
            </w:r>
          </w:p>
        </w:tc>
        <w:tc>
          <w:tcPr>
            <w:tcW w:w="5656" w:type="dxa"/>
            <w:vAlign w:val="center"/>
          </w:tcPr>
          <w:p>
            <w:pPr>
              <w:spacing w:line="400" w:lineRule="exact"/>
              <w:rPr>
                <w:rFonts w:ascii="宋体" w:hAnsi="宋体"/>
                <w:sz w:val="24"/>
                <w:szCs w:val="24"/>
              </w:rPr>
            </w:pPr>
            <w:r>
              <w:rPr>
                <w:rFonts w:hint="eastAsia" w:ascii="宋体" w:hAnsi="宋体"/>
                <w:sz w:val="24"/>
                <w:szCs w:val="24"/>
              </w:rPr>
              <w:t>1、提供组织活动发布与管理功能，分会管理员可以管理本组织所有活动。</w:t>
            </w:r>
          </w:p>
          <w:p>
            <w:pPr>
              <w:spacing w:line="400" w:lineRule="exact"/>
              <w:rPr>
                <w:rFonts w:ascii="宋体" w:hAnsi="宋体"/>
                <w:sz w:val="24"/>
                <w:szCs w:val="24"/>
              </w:rPr>
            </w:pPr>
            <w:r>
              <w:rPr>
                <w:rFonts w:hint="eastAsia" w:ascii="宋体" w:hAnsi="宋体"/>
                <w:sz w:val="24"/>
                <w:szCs w:val="24"/>
              </w:rPr>
              <w:t>2、提供组织活动审核功能，分会管理员可对成员发布的活动进行审核处理。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组织资讯</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w:t>
            </w:r>
            <w:r>
              <w:rPr>
                <w:rFonts w:hint="eastAsia" w:ascii="宋体" w:hAnsi="宋体"/>
                <w:sz w:val="24"/>
                <w:szCs w:val="24"/>
              </w:rPr>
              <w:t>组织资讯的</w:t>
            </w:r>
            <w:r>
              <w:rPr>
                <w:rFonts w:ascii="宋体" w:hAnsi="宋体"/>
                <w:sz w:val="24"/>
                <w:szCs w:val="24"/>
              </w:rPr>
              <w:t>发布与管理功能，支持所见即所得的可视化编辑。</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w:t>
            </w:r>
            <w:r>
              <w:rPr>
                <w:rFonts w:hint="eastAsia" w:ascii="宋体" w:hAnsi="宋体"/>
                <w:sz w:val="24"/>
                <w:szCs w:val="24"/>
              </w:rPr>
              <w:t>分会</w:t>
            </w:r>
            <w:r>
              <w:rPr>
                <w:rFonts w:ascii="宋体" w:hAnsi="宋体"/>
                <w:sz w:val="24"/>
                <w:szCs w:val="24"/>
              </w:rPr>
              <w:t>投稿功能，</w:t>
            </w:r>
            <w:r>
              <w:rPr>
                <w:rFonts w:hint="eastAsia" w:ascii="宋体" w:hAnsi="宋体"/>
                <w:sz w:val="24"/>
                <w:szCs w:val="24"/>
              </w:rPr>
              <w:t>分会管理员</w:t>
            </w:r>
            <w:r>
              <w:rPr>
                <w:rFonts w:ascii="宋体" w:hAnsi="宋体"/>
                <w:sz w:val="24"/>
                <w:szCs w:val="24"/>
              </w:rPr>
              <w:t>可以向校友总会进行资讯投稿。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组织相册</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提供组织相册管理功能，</w:t>
            </w:r>
            <w:r>
              <w:rPr>
                <w:rFonts w:hint="eastAsia" w:ascii="宋体" w:hAnsi="宋体"/>
                <w:sz w:val="24"/>
                <w:szCs w:val="24"/>
              </w:rPr>
              <w:t>分会</w:t>
            </w:r>
            <w:r>
              <w:rPr>
                <w:rFonts w:ascii="宋体" w:hAnsi="宋体"/>
                <w:sz w:val="24"/>
                <w:szCs w:val="24"/>
              </w:rPr>
              <w:t>管理员可以</w:t>
            </w:r>
            <w:r>
              <w:rPr>
                <w:rFonts w:hint="eastAsia" w:ascii="宋体" w:hAnsi="宋体"/>
                <w:sz w:val="24"/>
                <w:szCs w:val="24"/>
              </w:rPr>
              <w:t>管理</w:t>
            </w:r>
            <w:r>
              <w:rPr>
                <w:rFonts w:ascii="宋体" w:hAnsi="宋体"/>
                <w:sz w:val="24"/>
                <w:szCs w:val="24"/>
              </w:rPr>
              <w:t>本组织所有相册及其照片。支持组织成员用户端上传相册与照片功能。</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提供组织相册审核功能，</w:t>
            </w:r>
            <w:r>
              <w:rPr>
                <w:rFonts w:hint="eastAsia" w:ascii="宋体" w:hAnsi="宋体"/>
                <w:sz w:val="24"/>
                <w:szCs w:val="24"/>
              </w:rPr>
              <w:t>分会</w:t>
            </w:r>
            <w:r>
              <w:rPr>
                <w:rFonts w:ascii="宋体" w:hAnsi="宋体"/>
                <w:sz w:val="24"/>
                <w:szCs w:val="24"/>
              </w:rPr>
              <w:t>管理员可以对组织成员上传的相册照片进行审核处理。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组织留言</w:t>
            </w:r>
          </w:p>
        </w:tc>
        <w:tc>
          <w:tcPr>
            <w:tcW w:w="5656" w:type="dxa"/>
            <w:vAlign w:val="center"/>
          </w:tcPr>
          <w:p>
            <w:pPr>
              <w:spacing w:line="400" w:lineRule="exact"/>
              <w:rPr>
                <w:rFonts w:ascii="宋体" w:hAnsi="宋体"/>
                <w:sz w:val="24"/>
                <w:szCs w:val="24"/>
              </w:rPr>
            </w:pPr>
            <w:r>
              <w:rPr>
                <w:rFonts w:ascii="宋体" w:hAnsi="宋体"/>
                <w:sz w:val="24"/>
                <w:szCs w:val="24"/>
              </w:rPr>
              <w:t>提供组织留言功能，</w:t>
            </w:r>
            <w:r>
              <w:rPr>
                <w:rFonts w:hint="eastAsia" w:ascii="宋体" w:hAnsi="宋体"/>
                <w:sz w:val="24"/>
                <w:szCs w:val="24"/>
              </w:rPr>
              <w:t>分会</w:t>
            </w:r>
            <w:r>
              <w:rPr>
                <w:rFonts w:ascii="宋体" w:hAnsi="宋体"/>
                <w:sz w:val="24"/>
                <w:szCs w:val="24"/>
              </w:rPr>
              <w:t>管理员可以在后台查看并回复</w:t>
            </w:r>
            <w:r>
              <w:rPr>
                <w:rFonts w:hint="eastAsia" w:ascii="宋体" w:hAnsi="宋体"/>
                <w:sz w:val="24"/>
                <w:szCs w:val="24"/>
              </w:rPr>
              <w:t>校友</w:t>
            </w:r>
            <w:r>
              <w:rPr>
                <w:rFonts w:ascii="宋体" w:hAnsi="宋体"/>
                <w:sz w:val="24"/>
                <w:szCs w:val="24"/>
              </w:rPr>
              <w:t>提交的留言信息。提供精选留言显示配置功能。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Arial" w:hAnsi="Arial"/>
                <w:sz w:val="24"/>
                <w:szCs w:val="24"/>
              </w:rPr>
            </w:pPr>
            <w:r>
              <w:rPr>
                <w:rFonts w:hint="eastAsia" w:ascii="宋体" w:hAnsi="宋体"/>
                <w:sz w:val="24"/>
                <w:szCs w:val="24"/>
              </w:rPr>
              <w:t>权限控制</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提供分会管理员</w:t>
            </w:r>
            <w:r>
              <w:rPr>
                <w:rFonts w:hint="eastAsia" w:ascii="宋体" w:hAnsi="宋体"/>
                <w:sz w:val="24"/>
                <w:szCs w:val="24"/>
              </w:rPr>
              <w:t>权限配置</w:t>
            </w:r>
            <w:r>
              <w:rPr>
                <w:rFonts w:ascii="宋体" w:hAnsi="宋体"/>
                <w:sz w:val="24"/>
                <w:szCs w:val="24"/>
              </w:rPr>
              <w:t>功能，总会管理员可为各组织设置</w:t>
            </w:r>
            <w:r>
              <w:rPr>
                <w:rFonts w:hint="eastAsia" w:ascii="宋体" w:hAnsi="宋体"/>
                <w:sz w:val="24"/>
                <w:szCs w:val="24"/>
              </w:rPr>
              <w:t>分会</w:t>
            </w:r>
            <w:r>
              <w:rPr>
                <w:rFonts w:ascii="宋体" w:hAnsi="宋体"/>
                <w:sz w:val="24"/>
                <w:szCs w:val="24"/>
              </w:rPr>
              <w:t>管理员及</w:t>
            </w:r>
            <w:r>
              <w:rPr>
                <w:rFonts w:hint="eastAsia" w:ascii="宋体" w:hAnsi="宋体"/>
                <w:sz w:val="24"/>
                <w:szCs w:val="24"/>
              </w:rPr>
              <w:t>其</w:t>
            </w:r>
            <w:r>
              <w:rPr>
                <w:rFonts w:ascii="宋体" w:hAnsi="宋体"/>
                <w:sz w:val="24"/>
                <w:szCs w:val="24"/>
              </w:rPr>
              <w:t>管理权限，管理权限包括功能权限和数据权限的设置。</w:t>
            </w:r>
          </w:p>
          <w:p>
            <w:pPr>
              <w:spacing w:line="400" w:lineRule="exact"/>
              <w:rPr>
                <w:rFonts w:ascii="Arial" w:hAnsi="Arial"/>
                <w:sz w:val="24"/>
                <w:szCs w:val="24"/>
              </w:rPr>
            </w:pPr>
            <w:r>
              <w:rPr>
                <w:rFonts w:hint="eastAsia" w:ascii="宋体" w:hAnsi="宋体"/>
                <w:sz w:val="24"/>
                <w:szCs w:val="24"/>
              </w:rPr>
              <w:t>2、分会</w:t>
            </w:r>
            <w:r>
              <w:rPr>
                <w:rFonts w:ascii="宋体" w:hAnsi="宋体"/>
                <w:sz w:val="24"/>
                <w:szCs w:val="24"/>
              </w:rPr>
              <w:t>管理员可以个性</w:t>
            </w:r>
            <w:r>
              <w:rPr>
                <w:rFonts w:hint="eastAsia" w:ascii="宋体" w:hAnsi="宋体"/>
                <w:sz w:val="24"/>
                <w:szCs w:val="24"/>
              </w:rPr>
              <w:t>化</w:t>
            </w:r>
            <w:r>
              <w:rPr>
                <w:rFonts w:ascii="宋体" w:hAnsi="宋体"/>
                <w:sz w:val="24"/>
                <w:szCs w:val="24"/>
              </w:rPr>
              <w:t>配置本组织的运营规则，如成员加入开放范围，成员发起活动是否需要审核等。</w:t>
            </w:r>
            <w:r>
              <w:rPr>
                <w:rFonts w:hint="eastAsia" w:ascii="宋体" w:hAnsi="宋体"/>
                <w:sz w:val="24"/>
                <w:szCs w:val="24"/>
              </w:rPr>
              <w:t>支持总会二级审核的全局配置。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移动端组织微门户</w:t>
            </w:r>
          </w:p>
        </w:tc>
        <w:tc>
          <w:tcPr>
            <w:tcW w:w="5656" w:type="dxa"/>
            <w:vAlign w:val="center"/>
          </w:tcPr>
          <w:p>
            <w:pPr>
              <w:spacing w:line="400" w:lineRule="exact"/>
              <w:rPr>
                <w:rFonts w:ascii="宋体" w:hAnsi="宋体"/>
                <w:sz w:val="24"/>
                <w:szCs w:val="24"/>
              </w:rPr>
            </w:pPr>
            <w:r>
              <w:rPr>
                <w:rFonts w:hint="eastAsia" w:ascii="宋体" w:hAnsi="宋体"/>
                <w:sz w:val="24"/>
                <w:szCs w:val="24"/>
              </w:rPr>
              <w:t>1、</w:t>
            </w:r>
            <w:r>
              <w:rPr>
                <w:rFonts w:ascii="宋体" w:hAnsi="宋体"/>
                <w:sz w:val="24"/>
                <w:szCs w:val="24"/>
              </w:rPr>
              <w:t>提供微信小程序端组织微</w:t>
            </w:r>
            <w:r>
              <w:rPr>
                <w:rFonts w:hint="eastAsia" w:ascii="宋体" w:hAnsi="宋体"/>
                <w:sz w:val="24"/>
                <w:szCs w:val="24"/>
              </w:rPr>
              <w:t>门户功</w:t>
            </w:r>
            <w:r>
              <w:rPr>
                <w:rFonts w:ascii="宋体" w:hAnsi="宋体"/>
                <w:sz w:val="24"/>
                <w:szCs w:val="24"/>
              </w:rPr>
              <w:t>能，可</w:t>
            </w:r>
            <w:r>
              <w:rPr>
                <w:rFonts w:hint="eastAsia" w:ascii="宋体" w:hAnsi="宋体"/>
                <w:sz w:val="24"/>
                <w:szCs w:val="24"/>
              </w:rPr>
              <w:t>以</w:t>
            </w:r>
            <w:r>
              <w:rPr>
                <w:rFonts w:ascii="宋体" w:hAnsi="宋体"/>
                <w:sz w:val="24"/>
                <w:szCs w:val="24"/>
              </w:rPr>
              <w:t>为每个组织自动生成组织微</w:t>
            </w:r>
            <w:r>
              <w:rPr>
                <w:rFonts w:hint="eastAsia" w:ascii="宋体" w:hAnsi="宋体"/>
                <w:sz w:val="24"/>
                <w:szCs w:val="24"/>
              </w:rPr>
              <w:t>门户，</w:t>
            </w:r>
            <w:r>
              <w:rPr>
                <w:rFonts w:ascii="宋体" w:hAnsi="宋体"/>
                <w:sz w:val="24"/>
                <w:szCs w:val="24"/>
              </w:rPr>
              <w:t>微</w:t>
            </w:r>
            <w:r>
              <w:rPr>
                <w:rFonts w:hint="eastAsia" w:ascii="宋体" w:hAnsi="宋体"/>
                <w:sz w:val="24"/>
                <w:szCs w:val="24"/>
              </w:rPr>
              <w:t>门户包</w:t>
            </w:r>
            <w:r>
              <w:rPr>
                <w:rFonts w:ascii="宋体" w:hAnsi="宋体"/>
                <w:sz w:val="24"/>
                <w:szCs w:val="24"/>
              </w:rPr>
              <w:t>括组织简介、联系信息、成员通讯录、组织资讯、组织活动、组织相册、组织留言等模块。各组织微</w:t>
            </w:r>
            <w:r>
              <w:rPr>
                <w:rFonts w:hint="eastAsia" w:ascii="宋体" w:hAnsi="宋体"/>
                <w:sz w:val="24"/>
                <w:szCs w:val="24"/>
              </w:rPr>
              <w:t>门户</w:t>
            </w:r>
            <w:r>
              <w:rPr>
                <w:rFonts w:ascii="宋体" w:hAnsi="宋体"/>
                <w:sz w:val="24"/>
                <w:szCs w:val="24"/>
              </w:rPr>
              <w:t>相互独立，由各</w:t>
            </w:r>
            <w:r>
              <w:rPr>
                <w:rFonts w:hint="eastAsia" w:ascii="宋体" w:hAnsi="宋体"/>
                <w:sz w:val="24"/>
                <w:szCs w:val="24"/>
              </w:rPr>
              <w:t>分会</w:t>
            </w:r>
            <w:r>
              <w:rPr>
                <w:rFonts w:ascii="宋体" w:hAnsi="宋体"/>
                <w:sz w:val="24"/>
                <w:szCs w:val="24"/>
              </w:rPr>
              <w:t>管理员自行维护、管理及运营。</w:t>
            </w:r>
          </w:p>
          <w:p>
            <w:pPr>
              <w:spacing w:line="400" w:lineRule="exact"/>
              <w:rPr>
                <w:rFonts w:ascii="宋体" w:hAnsi="宋体"/>
                <w:sz w:val="24"/>
                <w:szCs w:val="24"/>
              </w:rPr>
            </w:pPr>
            <w:r>
              <w:rPr>
                <w:rFonts w:hint="eastAsia" w:ascii="宋体" w:hAnsi="宋体"/>
                <w:sz w:val="24"/>
                <w:szCs w:val="24"/>
              </w:rPr>
              <w:t>2、</w:t>
            </w:r>
            <w:r>
              <w:rPr>
                <w:rFonts w:ascii="宋体" w:hAnsi="宋体"/>
                <w:sz w:val="24"/>
                <w:szCs w:val="24"/>
              </w:rPr>
              <w:t>提供微信小程序端组织</w:t>
            </w:r>
            <w:r>
              <w:rPr>
                <w:rFonts w:hint="eastAsia" w:ascii="宋体" w:hAnsi="宋体"/>
                <w:sz w:val="24"/>
                <w:szCs w:val="24"/>
              </w:rPr>
              <w:t>运营</w:t>
            </w:r>
            <w:r>
              <w:rPr>
                <w:rFonts w:ascii="宋体" w:hAnsi="宋体"/>
                <w:sz w:val="24"/>
                <w:szCs w:val="24"/>
              </w:rPr>
              <w:t>管理功能，各</w:t>
            </w:r>
            <w:r>
              <w:rPr>
                <w:rFonts w:hint="eastAsia" w:ascii="宋体" w:hAnsi="宋体"/>
                <w:sz w:val="24"/>
                <w:szCs w:val="24"/>
              </w:rPr>
              <w:t>分会</w:t>
            </w:r>
            <w:r>
              <w:rPr>
                <w:rFonts w:ascii="宋体" w:hAnsi="宋体"/>
                <w:sz w:val="24"/>
                <w:szCs w:val="24"/>
              </w:rPr>
              <w:t>管理员可通过手机管理</w:t>
            </w:r>
            <w:r>
              <w:rPr>
                <w:rFonts w:hint="eastAsia" w:ascii="宋体" w:hAnsi="宋体"/>
                <w:sz w:val="24"/>
                <w:szCs w:val="24"/>
              </w:rPr>
              <w:t>本</w:t>
            </w:r>
            <w:r>
              <w:rPr>
                <w:rFonts w:ascii="宋体" w:hAnsi="宋体"/>
                <w:sz w:val="24"/>
                <w:szCs w:val="24"/>
              </w:rPr>
              <w:t>组织，包括成员加入审核、活动发起审核、组织相册管理、成员留言回复等。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校友服务大厅</w:t>
            </w: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电子校友卡</w:t>
            </w:r>
          </w:p>
        </w:tc>
        <w:tc>
          <w:tcPr>
            <w:tcW w:w="5656" w:type="dxa"/>
            <w:vAlign w:val="center"/>
          </w:tcPr>
          <w:p>
            <w:pPr>
              <w:spacing w:line="400" w:lineRule="exact"/>
              <w:rPr>
                <w:rFonts w:ascii="宋体" w:hAnsi="宋体"/>
                <w:sz w:val="24"/>
                <w:szCs w:val="24"/>
              </w:rPr>
            </w:pPr>
            <w:r>
              <w:rPr>
                <w:rFonts w:ascii="宋体" w:hAnsi="宋体"/>
                <w:sz w:val="24"/>
                <w:szCs w:val="24"/>
              </w:rPr>
              <w:t>提供电子校友卡在线申领服务，</w:t>
            </w:r>
            <w:r>
              <w:rPr>
                <w:rFonts w:hint="eastAsia" w:ascii="宋体" w:hAnsi="宋体"/>
                <w:sz w:val="24"/>
                <w:szCs w:val="24"/>
              </w:rPr>
              <w:t>校友可通过电子校友卡享受进出校门、食堂就餐、图书馆阅览等校园服务。支持与学校校园一卡通的对接，</w:t>
            </w:r>
            <w:r>
              <w:rPr>
                <w:rFonts w:ascii="宋体" w:hAnsi="宋体"/>
                <w:sz w:val="24"/>
                <w:szCs w:val="24"/>
              </w:rPr>
              <w:t>支持校友卡卡号的自定义编辑</w:t>
            </w:r>
            <w:r>
              <w:rPr>
                <w:rFonts w:hint="eastAsia" w:ascii="宋体" w:hAnsi="宋体"/>
                <w:sz w:val="24"/>
                <w:szCs w:val="24"/>
              </w:rPr>
              <w:t>，</w:t>
            </w:r>
            <w:r>
              <w:rPr>
                <w:rFonts w:ascii="宋体" w:hAnsi="宋体"/>
                <w:sz w:val="24"/>
                <w:szCs w:val="24"/>
              </w:rPr>
              <w:t>支持校友卡照片更换申请。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ascii="宋体" w:hAnsi="宋体"/>
                <w:b/>
                <w:bCs/>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返校预约</w:t>
            </w:r>
          </w:p>
        </w:tc>
        <w:tc>
          <w:tcPr>
            <w:tcW w:w="5656" w:type="dxa"/>
            <w:vAlign w:val="center"/>
          </w:tcPr>
          <w:p>
            <w:pPr>
              <w:spacing w:line="400" w:lineRule="exact"/>
              <w:rPr>
                <w:rFonts w:ascii="宋体" w:hAnsi="宋体"/>
                <w:sz w:val="24"/>
                <w:szCs w:val="24"/>
              </w:rPr>
            </w:pPr>
            <w:r>
              <w:rPr>
                <w:rFonts w:ascii="宋体" w:hAnsi="宋体"/>
                <w:sz w:val="24"/>
                <w:szCs w:val="24"/>
              </w:rPr>
              <w:t>提供返校预约服务，校友可在线填写返校预约信息即可实现一键返校。总会管理员可对校友提交的返校信息进行审核并处理，支持自动分发学院管理员协同处理。支持返校二维码核销及门禁系统对接。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ascii="宋体" w:hAnsi="宋体"/>
                <w:b/>
                <w:bCs/>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档案查询、证书补办</w:t>
            </w:r>
          </w:p>
        </w:tc>
        <w:tc>
          <w:tcPr>
            <w:tcW w:w="5656" w:type="dxa"/>
            <w:vAlign w:val="center"/>
          </w:tcPr>
          <w:p>
            <w:pPr>
              <w:spacing w:line="400" w:lineRule="exact"/>
              <w:rPr>
                <w:rFonts w:ascii="宋体" w:hAnsi="宋体"/>
                <w:sz w:val="24"/>
                <w:szCs w:val="24"/>
              </w:rPr>
            </w:pPr>
            <w:r>
              <w:rPr>
                <w:rFonts w:ascii="宋体" w:hAnsi="宋体"/>
                <w:sz w:val="24"/>
                <w:szCs w:val="24"/>
              </w:rPr>
              <w:t>提供档案查询和证书补办服务，校友可在线申请档案查询和证书补办服务，无需线下来校办理，提升校友服务体验。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ascii="宋体" w:hAnsi="宋体"/>
                <w:b/>
                <w:bCs/>
              </w:rPr>
            </w:pPr>
          </w:p>
        </w:tc>
        <w:tc>
          <w:tcPr>
            <w:tcW w:w="1715" w:type="dxa"/>
            <w:vAlign w:val="center"/>
          </w:tcPr>
          <w:p>
            <w:pPr>
              <w:spacing w:line="240" w:lineRule="auto"/>
              <w:jc w:val="center"/>
              <w:rPr>
                <w:rFonts w:ascii="宋体" w:hAnsi="宋体"/>
                <w:sz w:val="24"/>
                <w:szCs w:val="24"/>
              </w:rPr>
            </w:pPr>
            <w:r>
              <w:rPr>
                <w:rFonts w:hint="eastAsia" w:ascii="宋体" w:hAnsi="宋体"/>
                <w:sz w:val="24"/>
                <w:szCs w:val="24"/>
              </w:rPr>
              <w:t>找校友</w:t>
            </w:r>
          </w:p>
        </w:tc>
        <w:tc>
          <w:tcPr>
            <w:tcW w:w="5656" w:type="dxa"/>
            <w:vAlign w:val="center"/>
          </w:tcPr>
          <w:p>
            <w:pPr>
              <w:spacing w:line="400" w:lineRule="exact"/>
              <w:rPr>
                <w:rFonts w:ascii="宋体" w:hAnsi="宋体"/>
                <w:sz w:val="24"/>
                <w:szCs w:val="24"/>
              </w:rPr>
            </w:pPr>
            <w:r>
              <w:rPr>
                <w:rFonts w:ascii="宋体" w:hAnsi="宋体"/>
                <w:sz w:val="24"/>
                <w:szCs w:val="24"/>
              </w:rPr>
              <w:t>提供找校友服务，校友可在线查询同行、同城、同学、同专业、同年级、同爱好以及附近的校友，可发起校友名片查看申请，实现</w:t>
            </w:r>
            <w:r>
              <w:rPr>
                <w:rFonts w:hint="eastAsia" w:ascii="宋体" w:hAnsi="宋体"/>
                <w:sz w:val="24"/>
                <w:szCs w:val="24"/>
              </w:rPr>
              <w:t>校友间的联接</w:t>
            </w:r>
            <w:r>
              <w:rPr>
                <w:rFonts w:ascii="宋体" w:hAnsi="宋体"/>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ascii="Arial" w:hAnsi="Arial"/>
                <w:b/>
                <w:bCs/>
              </w:rPr>
            </w:pPr>
          </w:p>
        </w:tc>
        <w:tc>
          <w:tcPr>
            <w:tcW w:w="1715" w:type="dxa"/>
            <w:vAlign w:val="center"/>
          </w:tcPr>
          <w:p>
            <w:pPr>
              <w:spacing w:line="240" w:lineRule="auto"/>
              <w:jc w:val="center"/>
              <w:rPr>
                <w:rFonts w:ascii="Arial" w:hAnsi="Arial"/>
                <w:sz w:val="24"/>
                <w:szCs w:val="24"/>
              </w:rPr>
            </w:pPr>
            <w:r>
              <w:rPr>
                <w:rFonts w:ascii="宋体" w:hAnsi="宋体"/>
                <w:sz w:val="24"/>
                <w:szCs w:val="24"/>
              </w:rPr>
              <w:t>校友名录查询</w:t>
            </w:r>
          </w:p>
        </w:tc>
        <w:tc>
          <w:tcPr>
            <w:tcW w:w="5656" w:type="dxa"/>
            <w:vAlign w:val="center"/>
          </w:tcPr>
          <w:p>
            <w:pPr>
              <w:spacing w:line="400" w:lineRule="exact"/>
              <w:rPr>
                <w:rFonts w:ascii="Arial" w:hAnsi="Arial"/>
                <w:sz w:val="24"/>
                <w:szCs w:val="24"/>
              </w:rPr>
            </w:pPr>
            <w:r>
              <w:rPr>
                <w:rFonts w:ascii="宋体" w:hAnsi="宋体"/>
                <w:sz w:val="24"/>
                <w:szCs w:val="24"/>
              </w:rPr>
              <w:t>提供校友名录查询服务，校友可根据姓名在线查询校友基础学籍信息。支持入学年份、毕业年份、专业、班级、现属学院等字段进行多条件组合查询校友名录信息。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ascii="Arial" w:hAnsi="Arial"/>
                <w:b/>
                <w:bCs/>
              </w:rPr>
            </w:pPr>
          </w:p>
        </w:tc>
        <w:tc>
          <w:tcPr>
            <w:tcW w:w="1715" w:type="dxa"/>
            <w:vAlign w:val="center"/>
          </w:tcPr>
          <w:p>
            <w:pPr>
              <w:spacing w:line="240" w:lineRule="auto"/>
              <w:jc w:val="center"/>
              <w:rPr>
                <w:rFonts w:ascii="Arial" w:hAnsi="Arial"/>
                <w:sz w:val="24"/>
                <w:szCs w:val="24"/>
              </w:rPr>
            </w:pPr>
            <w:r>
              <w:rPr>
                <w:rFonts w:hint="eastAsia" w:ascii="宋体" w:hAnsi="宋体"/>
                <w:sz w:val="24"/>
                <w:szCs w:val="24"/>
              </w:rPr>
              <w:t>校友互联</w:t>
            </w:r>
          </w:p>
        </w:tc>
        <w:tc>
          <w:tcPr>
            <w:tcW w:w="5656" w:type="dxa"/>
            <w:vAlign w:val="center"/>
          </w:tcPr>
          <w:p>
            <w:pPr>
              <w:spacing w:line="400" w:lineRule="exact"/>
              <w:rPr>
                <w:rFonts w:ascii="Arial" w:hAnsi="Arial"/>
                <w:sz w:val="24"/>
                <w:szCs w:val="24"/>
              </w:rPr>
            </w:pPr>
            <w:r>
              <w:rPr>
                <w:rFonts w:ascii="宋体" w:hAnsi="宋体"/>
                <w:sz w:val="24"/>
                <w:szCs w:val="24"/>
              </w:rPr>
              <w:t>提供校友互联服务，校友可在线发布资源供求信息</w:t>
            </w:r>
            <w:r>
              <w:rPr>
                <w:rFonts w:hint="eastAsia" w:ascii="宋体" w:hAnsi="宋体"/>
                <w:sz w:val="24"/>
                <w:szCs w:val="24"/>
              </w:rPr>
              <w:t>，</w:t>
            </w:r>
            <w:r>
              <w:rPr>
                <w:rFonts w:ascii="宋体" w:hAnsi="宋体"/>
                <w:sz w:val="24"/>
                <w:szCs w:val="24"/>
              </w:rPr>
              <w:t>如招聘求职、商务合作、互帮互助、寻访师生等。</w:t>
            </w:r>
            <w:r>
              <w:rPr>
                <w:rFonts w:hint="eastAsia" w:ascii="宋体" w:hAnsi="宋体"/>
                <w:sz w:val="24"/>
                <w:szCs w:val="24"/>
              </w:rPr>
              <w:t>提供</w:t>
            </w:r>
            <w:r>
              <w:rPr>
                <w:rFonts w:ascii="宋体" w:hAnsi="宋体"/>
                <w:sz w:val="24"/>
                <w:szCs w:val="24"/>
              </w:rPr>
              <w:t>资源搜索和智能匹配服务，实现校友资源信息的共享和对接。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积分商城</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1、提供积分商城兑换服务，校友可在线查看所有商品及所需积分，并直接下单兑换。订单支持到校自取和快递二种配送方式。后台提供商品管理、订单管理、评价管理等管理功能。</w:t>
            </w:r>
          </w:p>
          <w:p>
            <w:pPr>
              <w:spacing w:line="400" w:lineRule="exact"/>
              <w:rPr>
                <w:rFonts w:hint="eastAsia" w:ascii="宋体" w:hAnsi="宋体" w:eastAsia="宋体" w:cs="宋体"/>
                <w:sz w:val="24"/>
                <w:szCs w:val="24"/>
              </w:rPr>
            </w:pPr>
            <w:r>
              <w:rPr>
                <w:rFonts w:hint="eastAsia" w:ascii="宋体" w:hAnsi="宋体" w:eastAsia="宋体" w:cs="宋体"/>
                <w:sz w:val="24"/>
                <w:szCs w:val="24"/>
              </w:rPr>
              <w:t>2、提供积分策略管理功能，总会管理员可以自定义配置积分规则和积分任务，积分任务包括校友平台的所有互动模块。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终身学习</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提供校友终身学习服务，向校友分享论坛讲座、知识提升等方面的学习视频，校友可在线点播学习，帮助校友持续学习提升。视频由管理员在后台统一上传与管理，提供视频评论及转发分享。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校友期刊</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提供校友期刊服务，校友可以在线阅览电子版校友期刊。支持“翻书”效果阅读，支持纸质版校友期刊的订阅申请。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生日祝福</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提供生日祝福服务，校友可在线查看当日所有生日校友的滚动信息，并可在线送上我的祝福。当日生日的校友，可以收到校友送出的生日祝福提醒，并可查看送来祝福的校友列表，支持申请查看校友名片。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生日贺卡</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提供生日贺卡服务，系统自动给当日过生日的校友发送生日祝福短信，短信内容包括祝福文字及贺卡链接，校友可直接查看并下载电子贺卡。贺卡样式可根据学校要求个性化定制设计。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校友名片</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提供校友名片服务，校友可在线编辑并生成自己的校友名片，可将名片转发给其他校友，同时也可以接收其他校友发送的名片交换申请。支持校友自定义配置隐私信息保护，保证校友信息的安全。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校友运营应用</w:t>
            </w: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消息群发</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提供消息群发运营应用，管理员可以给校友群发消息，支持短信、邮件、微信、站内信等多种群发渠道。支持群发信息模板的配置，支持导入和选择各类型角色用户发送。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活动</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1、提供活动运营应用，管理员可以发起与管理校友活动。提供活动报名、签到、支付、座席分配、相册、评论、互动、抽奖、打赏、现场大屏等功能。</w:t>
            </w:r>
          </w:p>
          <w:p>
            <w:pPr>
              <w:spacing w:line="400" w:lineRule="exact"/>
              <w:rPr>
                <w:rFonts w:hint="eastAsia" w:ascii="宋体" w:hAnsi="宋体" w:eastAsia="宋体" w:cs="宋体"/>
                <w:sz w:val="24"/>
                <w:szCs w:val="24"/>
              </w:rPr>
            </w:pPr>
            <w:r>
              <w:rPr>
                <w:rFonts w:hint="eastAsia" w:ascii="宋体" w:hAnsi="宋体" w:eastAsia="宋体" w:cs="宋体"/>
                <w:sz w:val="24"/>
                <w:szCs w:val="24"/>
              </w:rPr>
              <w:t>2、提供用户端校友发起活动功能，支持活动审核。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投票</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1、提供投票运营应用，管理员可以发起与管理投票活动，可查看并管理投票数据。提供投票选项、投票规则、投票页面展示的配置功能。</w:t>
            </w:r>
          </w:p>
          <w:p>
            <w:pPr>
              <w:spacing w:line="400" w:lineRule="exact"/>
              <w:rPr>
                <w:rFonts w:hint="eastAsia" w:ascii="宋体" w:hAnsi="宋体" w:eastAsia="宋体" w:cs="宋体"/>
                <w:sz w:val="24"/>
                <w:szCs w:val="24"/>
              </w:rPr>
            </w:pPr>
            <w:r>
              <w:rPr>
                <w:rFonts w:hint="eastAsia" w:ascii="宋体" w:hAnsi="宋体" w:eastAsia="宋体" w:cs="宋体"/>
                <w:sz w:val="24"/>
                <w:szCs w:val="24"/>
              </w:rPr>
              <w:t>2、提供用户端发起投票功能，支持投票审核。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表单（问卷）</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表单（问卷）运营应用，管理员可以发起各类在线数据收集表单或调查问卷。表单提供单选、多选、文本、图片、文件等多种题型选择，提供表单数据统计与分析功能，支持数据导出。提供表单分享配置，支持表单二维码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图文</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提供图文运营应用，帮助校友平台运营人员快速生成微网页，方便宣传和传播。图文支持文字、图片、视频等富媒体编辑，支持与校友平台菜单的关联绑定。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抽奖</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提供抽奖运营应用，管理员可以发布抽奖活动，校友在线参与抽奖。提供大转盘、九宫格等抽奖形式，支持奖品、中奖率、抽奖次数等配置。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卡券</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1、提供卡券运营应用，管理员可向平台用户发放各类电子卡券，校友可在个人卡包中查看并使用卡券。支持就餐券、停车券、优惠券等多种卡券类型的管理，支持自动发放和手动发放二种方式。</w:t>
            </w:r>
          </w:p>
          <w:p>
            <w:pPr>
              <w:spacing w:line="400" w:lineRule="exact"/>
              <w:rPr>
                <w:rFonts w:hint="eastAsia" w:ascii="宋体" w:hAnsi="宋体" w:eastAsia="宋体" w:cs="宋体"/>
                <w:sz w:val="24"/>
                <w:szCs w:val="24"/>
              </w:rPr>
            </w:pPr>
            <w:r>
              <w:rPr>
                <w:rFonts w:hint="eastAsia" w:ascii="宋体" w:hAnsi="宋体" w:eastAsia="宋体" w:cs="宋体"/>
                <w:sz w:val="24"/>
                <w:szCs w:val="24"/>
              </w:rPr>
              <w:t>2、提供卡券核销功能，支持用户自行核销和核销人员扫码核销二种核销方式，可针对各种卡券自定义配置卡券核销人员。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校友数字地图</w:t>
            </w:r>
          </w:p>
        </w:tc>
        <w:tc>
          <w:tcPr>
            <w:tcW w:w="171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移动端数据可视化决策平台</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1、校友会数据可视化平台：提供校友平台运营数据统计与分析，包括总体运营概况、校友数据库、校友认证、校友组织等子版块。</w:t>
            </w:r>
          </w:p>
          <w:p>
            <w:pPr>
              <w:spacing w:line="400" w:lineRule="exact"/>
              <w:rPr>
                <w:rFonts w:hint="eastAsia" w:ascii="宋体" w:hAnsi="宋体" w:eastAsia="宋体" w:cs="宋体"/>
                <w:sz w:val="24"/>
                <w:szCs w:val="24"/>
              </w:rPr>
            </w:pPr>
            <w:r>
              <w:rPr>
                <w:rFonts w:hint="eastAsia" w:ascii="宋体" w:hAnsi="宋体" w:eastAsia="宋体" w:cs="宋体"/>
                <w:sz w:val="24"/>
                <w:szCs w:val="24"/>
              </w:rPr>
              <w:t>2、校友查询：提供校友信息查询功能，支持多条件组合查询。校友信息详情包括基本信息、学籍信息、工作信息、互动信息、联络记录、同班同学、档案照片、档案文件等多维度详情信息。支持常用场景查询，包括重点校友、爱心校友、附近校友、已认证校友等快捷查询。</w:t>
            </w:r>
          </w:p>
          <w:p>
            <w:pPr>
              <w:spacing w:line="400" w:lineRule="exact"/>
              <w:rPr>
                <w:rFonts w:hint="eastAsia" w:ascii="宋体" w:hAnsi="宋体" w:eastAsia="宋体" w:cs="宋体"/>
                <w:sz w:val="24"/>
                <w:szCs w:val="24"/>
              </w:rPr>
            </w:pPr>
            <w:r>
              <w:rPr>
                <w:rFonts w:hint="eastAsia" w:ascii="宋体" w:hAnsi="宋体" w:eastAsia="宋体" w:cs="宋体"/>
                <w:sz w:val="24"/>
                <w:szCs w:val="24"/>
              </w:rPr>
              <w:t>3、校友会查询：提供校友会查询功能，支持地图分布和列表展示二种视图查看，支持院系、地方、行业等组织类型筛选查询。校友会详情包括校友会简介、负责人信息、成员信息等内容版块。提供校友会负责人统一查询功能，可根据负责人姓名或组织名称快速查询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spacing w:line="400" w:lineRule="exact"/>
              <w:jc w:val="center"/>
              <w:rPr>
                <w:rFonts w:hint="eastAsia" w:ascii="宋体" w:hAnsi="宋体" w:eastAsia="宋体" w:cs="宋体"/>
                <w:b/>
                <w:bCs/>
                <w:sz w:val="24"/>
                <w:szCs w:val="24"/>
              </w:rPr>
            </w:pPr>
          </w:p>
        </w:tc>
        <w:tc>
          <w:tcPr>
            <w:tcW w:w="1715"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PC端数据可视化决策平台（数据大屏）</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PC端数据可视化决策平台（数据大屏），包括数据看板、校友库分析、校友认证分析、组织运营分析、校友服务分析、用户分析、学院排名等内容，支持大屏的自动适配展示，并可根据学校需求进行数据大屏模板扩展。</w:t>
            </w:r>
          </w:p>
        </w:tc>
      </w:tr>
    </w:tbl>
    <w:p>
      <w:pPr>
        <w:pStyle w:val="2"/>
        <w:rPr>
          <w:rFonts w:hint="eastAsia" w:ascii="宋体" w:hAnsi="宋体" w:eastAsia="宋体" w:cs="宋体"/>
          <w:sz w:val="24"/>
          <w:szCs w:val="24"/>
        </w:rPr>
      </w:pPr>
    </w:p>
    <w:p>
      <w:pPr>
        <w:spacing w:before="120" w:beforeLines="50"/>
        <w:rPr>
          <w:rFonts w:hint="eastAsia" w:ascii="宋体" w:hAnsi="宋体" w:eastAsia="宋体" w:cs="宋体"/>
          <w:b/>
          <w:bCs/>
          <w:sz w:val="28"/>
          <w:szCs w:val="28"/>
        </w:rPr>
      </w:pPr>
      <w:r>
        <w:rPr>
          <w:rFonts w:hint="eastAsia" w:ascii="宋体" w:hAnsi="宋体" w:eastAsia="宋体" w:cs="宋体"/>
          <w:b/>
          <w:bCs/>
          <w:sz w:val="28"/>
          <w:szCs w:val="28"/>
        </w:rPr>
        <w:t>2.2 系统运营及其他服务</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1"/>
        <w:gridCol w:w="5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411" w:type="dxa"/>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5656" w:type="dxa"/>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系统对接集成服务</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提供与学校智慧校园平台的对接集成服务，包括学校统一身份认证平台对接、校园一卡通系统对接、数据中心对接等服务。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等保测评服务</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提供系统首次等保二级测评服务，通过后系统方可上线。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短信服务</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提供短信平台服务，系统短信平台需预充70万条短信，用于验证码、消息通知、生日祝福等服务。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校友原始数据整理服务</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提供从建校至今的校友原始数据的整理与入库服务，包括本科生、研究生、教职工、继教院、留学生等数据。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系统上线活动支持服务</w:t>
            </w:r>
          </w:p>
        </w:tc>
        <w:tc>
          <w:tcPr>
            <w:tcW w:w="5656"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提供系统上线活动支持服务，包括上线仪式策划与执行、上线活动的策划与执行。上线仪式包括策划方案和上线视频制作等；上线活动包括校友卡发布、点亮全球等主题活动。</w:t>
            </w:r>
          </w:p>
        </w:tc>
      </w:tr>
      <w:bookmarkEnd w:id="14"/>
    </w:tbl>
    <w:p>
      <w:pPr>
        <w:pStyle w:val="2"/>
        <w:rPr>
          <w:rFonts w:hint="eastAsia" w:ascii="宋体" w:hAnsi="宋体" w:eastAsia="宋体" w:cs="宋体"/>
          <w:sz w:val="24"/>
          <w:szCs w:val="24"/>
        </w:rPr>
      </w:pPr>
    </w:p>
    <w:bookmarkEnd w:id="12"/>
    <w:bookmarkEnd w:id="13"/>
    <w:p>
      <w:pPr>
        <w:pStyle w:val="3"/>
        <w:numPr>
          <w:ilvl w:val="0"/>
          <w:numId w:val="4"/>
        </w:numPr>
        <w:spacing w:before="240" w:beforeLines="100" w:after="240" w:afterLines="100" w:line="240" w:lineRule="auto"/>
        <w:rPr>
          <w:sz w:val="28"/>
          <w:szCs w:val="28"/>
        </w:rPr>
      </w:pPr>
      <w:bookmarkStart w:id="15" w:name="_Toc166425021"/>
      <w:bookmarkStart w:id="16" w:name="_Toc133262609"/>
      <w:r>
        <w:rPr>
          <w:rFonts w:hint="eastAsia"/>
          <w:sz w:val="28"/>
          <w:szCs w:val="28"/>
        </w:rPr>
        <w:t>技术与服务要求</w:t>
      </w:r>
      <w:bookmarkEnd w:id="15"/>
      <w:bookmarkEnd w:id="16"/>
    </w:p>
    <w:p>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1、系统的建设必须符合和遵守学校制定的信息化相关标准要求，以便规范地进行业务数据的采集、存储、传输、应用。</w:t>
      </w:r>
    </w:p>
    <w:p>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2、系统要求采用B/S结构设计，JAVA语言开发，J2EE技术架构，基于主流的MySQL数据库，采用前后端分离模式开发。</w:t>
      </w:r>
    </w:p>
    <w:p>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3、系统部署及运行在LINUX内核操作系统上。网络端口默认仅开放80及443端口，如有特殊要求请说明用途，由信息中心评估后开放。所有系统均须部署SSL证书，每个服务要求功能独立且可以独立部署与健康度检测，所有服务均本地化部署。</w:t>
      </w:r>
    </w:p>
    <w:p>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4、系统服务应保证客户端浏览器的正常使用，前端浏览及操作需兼容Windows、MAC OS及其它主流PC操作系统，支持IE8及以上，Chrome、FireFox、Safari、Edge等主流浏览器访问，移动端则须兼容IOS、Android等其它主流移动操作系统。</w:t>
      </w:r>
    </w:p>
    <w:p>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5、系统服务支持不少于10000人同时在线，1000人的并发访问，系统时延小于3秒，可以在大量并发用户访问时处理大量数据，高并发下保证整个系统的可用性、流畅性。系统支持分布式集群部署，满足更大并发访问需求。</w:t>
      </w:r>
    </w:p>
    <w:p>
      <w:pPr>
        <w:pStyle w:val="2"/>
        <w:spacing w:after="0"/>
        <w:ind w:firstLine="480" w:firstLineChars="200"/>
        <w:rPr>
          <w:rFonts w:hint="eastAsia" w:ascii="宋体" w:hAnsi="宋体" w:eastAsia="宋体" w:cs="宋体"/>
          <w:sz w:val="24"/>
          <w:szCs w:val="24"/>
        </w:rPr>
      </w:pPr>
      <w:r>
        <w:rPr>
          <w:rFonts w:hint="eastAsia" w:ascii="宋体" w:hAnsi="宋体" w:eastAsia="宋体" w:cs="宋体"/>
          <w:sz w:val="24"/>
          <w:szCs w:val="24"/>
        </w:rPr>
        <w:t>6、系统服务上线前需通过学校信息安全评测，对检测出的安全问题需无条件免费整改，待所有安全问题处理完成后方可上线。</w:t>
      </w:r>
    </w:p>
    <w:p>
      <w:pPr>
        <w:pStyle w:val="47"/>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b/>
          <w:bCs/>
          <w:sz w:val="24"/>
          <w:szCs w:val="24"/>
        </w:rPr>
        <w:t>本项目自合同正式签署生效起30天内完成，平台系统应进入全面试运行。投标方需要在投标文件中给出实施工期进度表。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8、免费提供</w:t>
      </w:r>
      <w:r>
        <w:rPr>
          <w:rFonts w:hint="eastAsia" w:ascii="宋体" w:hAnsi="宋体" w:eastAsia="宋体" w:cs="宋体"/>
          <w:b/>
          <w:bCs/>
          <w:sz w:val="24"/>
          <w:szCs w:val="24"/>
        </w:rPr>
        <w:t>5年服务期限</w:t>
      </w:r>
      <w:r>
        <w:rPr>
          <w:rFonts w:hint="eastAsia" w:ascii="宋体" w:hAnsi="宋体" w:eastAsia="宋体" w:cs="宋体"/>
          <w:sz w:val="24"/>
          <w:szCs w:val="24"/>
        </w:rPr>
        <w:t>，服务期内免费升级及技术支持，服务期自项目验收合格之日起计算。</w:t>
      </w:r>
    </w:p>
    <w:p>
      <w:pPr>
        <w:pStyle w:val="2"/>
        <w:rPr>
          <w:rFonts w:hint="eastAsia"/>
        </w:rPr>
      </w:pPr>
    </w:p>
    <w:p>
      <w:pPr>
        <w:rPr>
          <w:b/>
          <w:bCs/>
          <w:sz w:val="28"/>
          <w:szCs w:val="28"/>
        </w:rPr>
      </w:pPr>
      <w:r>
        <w:rPr>
          <w:rFonts w:hint="eastAsia"/>
          <w:b/>
          <w:bCs/>
          <w:sz w:val="28"/>
          <w:szCs w:val="28"/>
        </w:rPr>
        <w:t>三、安装、调试、验收等要求</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（一）安装、调试</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w:t>
      </w:r>
      <w:r>
        <w:rPr>
          <w:rFonts w:hint="eastAsia" w:ascii="宋体" w:hAnsi="宋体" w:eastAsia="宋体" w:cs="华文楷体"/>
          <w:color w:val="000000" w:themeColor="text1"/>
          <w:kern w:val="2"/>
          <w:sz w:val="24"/>
          <w:szCs w:val="22"/>
          <w:lang w:val="en-US" w:eastAsia="zh-CN"/>
        </w:rPr>
        <w:t>1</w:t>
      </w:r>
      <w:r>
        <w:rPr>
          <w:rFonts w:ascii="宋体" w:hAnsi="宋体" w:eastAsia="宋体" w:cs="华文楷体"/>
          <w:color w:val="000000" w:themeColor="text1"/>
          <w:kern w:val="2"/>
          <w:sz w:val="24"/>
          <w:szCs w:val="22"/>
        </w:rPr>
        <w:t>）由中标人负责将设备按签订合同的具体数量、具体地点运送到最终目的地，中标人应在接到采购人通知后在规定的时间内负责派技术人员到现场进行安装、调试，并负责调试至验收合格交付采购人使用。</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w:t>
      </w:r>
      <w:r>
        <w:rPr>
          <w:rFonts w:hint="eastAsia" w:ascii="宋体" w:hAnsi="宋体" w:eastAsia="宋体" w:cs="华文楷体"/>
          <w:color w:val="000000" w:themeColor="text1"/>
          <w:kern w:val="2"/>
          <w:sz w:val="24"/>
          <w:szCs w:val="22"/>
          <w:lang w:val="en-US" w:eastAsia="zh-CN"/>
        </w:rPr>
        <w:t>2</w:t>
      </w:r>
      <w:r>
        <w:rPr>
          <w:rFonts w:ascii="宋体" w:hAnsi="宋体" w:eastAsia="宋体" w:cs="华文楷体"/>
          <w:color w:val="000000" w:themeColor="text1"/>
          <w:kern w:val="2"/>
          <w:sz w:val="24"/>
          <w:szCs w:val="22"/>
        </w:rPr>
        <w:t>）中标人负责组织专业技术人员进行货物安装调试，采购人应提供必须的基本条件和专人配合，保证各项安装工作顺利进行。</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w:t>
      </w:r>
      <w:r>
        <w:rPr>
          <w:rFonts w:hint="eastAsia" w:ascii="宋体" w:hAnsi="宋体" w:eastAsia="宋体" w:cs="华文楷体"/>
          <w:color w:val="000000" w:themeColor="text1"/>
          <w:kern w:val="2"/>
          <w:sz w:val="24"/>
          <w:szCs w:val="22"/>
          <w:lang w:val="en-US" w:eastAsia="zh-CN"/>
        </w:rPr>
        <w:t>3</w:t>
      </w:r>
      <w:r>
        <w:rPr>
          <w:rFonts w:ascii="宋体" w:hAnsi="宋体" w:eastAsia="宋体" w:cs="华文楷体"/>
          <w:color w:val="000000" w:themeColor="text1"/>
          <w:kern w:val="2"/>
          <w:sz w:val="24"/>
          <w:szCs w:val="22"/>
        </w:rPr>
        <w:t>）中标人应在合同签订时向采购人提供安装、调试及试运行的进度计划表。</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w:t>
      </w:r>
      <w:r>
        <w:rPr>
          <w:rFonts w:hint="eastAsia" w:ascii="宋体" w:hAnsi="宋体" w:eastAsia="宋体" w:cs="华文楷体"/>
          <w:color w:val="000000" w:themeColor="text1"/>
          <w:kern w:val="2"/>
          <w:sz w:val="24"/>
          <w:szCs w:val="22"/>
          <w:lang w:val="en-US" w:eastAsia="zh-CN"/>
        </w:rPr>
        <w:t>4</w:t>
      </w:r>
      <w:r>
        <w:rPr>
          <w:rFonts w:ascii="宋体" w:hAnsi="宋体" w:eastAsia="宋体" w:cs="华文楷体"/>
          <w:color w:val="000000" w:themeColor="text1"/>
          <w:kern w:val="2"/>
          <w:sz w:val="24"/>
          <w:szCs w:val="22"/>
        </w:rPr>
        <w:t>）设备到达最终用户现场后，中标人的工程师到采购人的现场安装设备，同时应向采购人介绍设备功能并进行现场演示。</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w:t>
      </w:r>
      <w:r>
        <w:rPr>
          <w:rFonts w:hint="eastAsia" w:ascii="宋体" w:hAnsi="宋体" w:eastAsia="宋体" w:cs="华文楷体"/>
          <w:color w:val="000000" w:themeColor="text1"/>
          <w:kern w:val="2"/>
          <w:sz w:val="24"/>
          <w:szCs w:val="22"/>
          <w:lang w:val="en-US" w:eastAsia="zh-CN"/>
        </w:rPr>
        <w:t>5</w:t>
      </w:r>
      <w:r>
        <w:rPr>
          <w:rFonts w:ascii="宋体" w:hAnsi="宋体" w:eastAsia="宋体" w:cs="华文楷体"/>
          <w:color w:val="000000" w:themeColor="text1"/>
          <w:kern w:val="2"/>
          <w:sz w:val="24"/>
          <w:szCs w:val="22"/>
        </w:rPr>
        <w:t>）设备进场后须在接到采购人安装通知后一周内安装调试完毕并交付使用。</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（二）验收</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（1）验收标准</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（2）验收程序和方法</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①出厂检验</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中标人在设备出厂前，应按设备技术标准规定的检验项目和检验方法进行全面检验，中标人应随同货物出具供货证明、产地证书、出厂检验报告和设备质量合格证等。结果必须符合验收标准的要求。</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②中标人自检</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设备在安装地安装完毕后，要求中标人对所有设备的性能进行自检，检验结果必须符合招标文件技术要求以及合同中相关条款，同时向采购人提供自检记录。</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③验收与最终验收</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中标人自检后，中标人与采购人一同按招标文件以及合同相关条款要求对设备进行验收，验收结果应符合采购人使用要求。安装完毕后，中标人需派有设备调试经验的技术人员对设备进行调试，按验收指标逐项测试，直至全部达到要求。</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④验收所发生的一切费用均由中标人承担。</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（三）技术资料要求</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中标人应向采购人提供以下目录的技术资料壹套，各项指标和参数应符合验收标准，采购人有权委托中国有资格单位或机构对设备性能、精度进行校核。</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1、出厂明细表(装箱单)；</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2、出厂检验报告和合格证书；</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3、使用说明书；</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4、安装手册、操作手册、维修手册</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5、设备安装、调试维修线路原理图；</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6、零部件目录（包括品牌、型号、生产厂家等信息）；</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7、相关文件、支持程序软盘或光盘；</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8、合同中要求的其它文件资料。</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（四）质量保证期及售后服务</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1、质保期：不少于5年，验收合格之日起计算。</w:t>
      </w:r>
    </w:p>
    <w:p>
      <w:pPr>
        <w:pStyle w:val="46"/>
        <w:spacing w:after="150"/>
        <w:ind w:firstLine="422"/>
        <w:rPr>
          <w:rFonts w:hint="default" w:ascii="宋体" w:hAnsi="宋体" w:eastAsia="宋体" w:cs="华文楷体"/>
          <w:b/>
          <w:color w:val="000000" w:themeColor="text1"/>
          <w:kern w:val="2"/>
          <w:sz w:val="24"/>
          <w:szCs w:val="22"/>
        </w:rPr>
      </w:pPr>
      <w:r>
        <w:rPr>
          <w:rFonts w:hint="eastAsia" w:ascii="宋体" w:hAnsi="宋体" w:eastAsia="宋体" w:cs="华文楷体"/>
          <w:b/>
          <w:color w:val="000000" w:themeColor="text1"/>
          <w:kern w:val="2"/>
          <w:sz w:val="24"/>
          <w:szCs w:val="22"/>
          <w:lang w:val="en-US" w:eastAsia="zh-CN"/>
        </w:rPr>
        <w:t>2</w:t>
      </w:r>
      <w:r>
        <w:rPr>
          <w:rFonts w:ascii="宋体" w:hAnsi="宋体" w:eastAsia="宋体" w:cs="华文楷体"/>
          <w:b/>
          <w:color w:val="000000" w:themeColor="text1"/>
          <w:kern w:val="2"/>
          <w:sz w:val="24"/>
          <w:szCs w:val="22"/>
        </w:rPr>
        <w:t>、投标人应响应本次采购售后服务要求并在投标文件中提供详细具体的售后服务条件及保证，也可视自身能力在投标文件中提供更优、更合理的售后服务承诺。同时将付费服务的情况如实告知采购人。</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（五）培训要求</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中标人应根据平台特点，免费对采购人技术人员、管理人员进行操作、维护等方面的专业培训，直至能独立操作。</w:t>
      </w:r>
    </w:p>
    <w:p>
      <w:pPr>
        <w:pStyle w:val="46"/>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四、其它要求</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1、违约责任</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（1）未按合同规定标准交付货物的违约责任</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乙方所交付的货物的品种、型号、规格、数量、质量、性能等不符合合同规定标准的，甲方有权拒绝部分或全部货物，乙方应向甲方偿付被拒货物货款的20%的违约金。</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（2）乙方未按期交货的违约责任</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②若乙方逾期交货达30天（含30天）以上的，甲方有权单方面解除采购合同，</w:t>
      </w:r>
      <w:bookmarkStart w:id="17" w:name="_Hlk148450119"/>
      <w:r>
        <w:rPr>
          <w:rFonts w:ascii="宋体" w:hAnsi="宋体" w:eastAsia="宋体" w:cs="华文楷体"/>
          <w:color w:val="000000" w:themeColor="text1"/>
          <w:kern w:val="2"/>
          <w:sz w:val="24"/>
          <w:szCs w:val="22"/>
        </w:rPr>
        <w:t>乙方应退还甲方</w:t>
      </w:r>
      <w:bookmarkEnd w:id="17"/>
      <w:r>
        <w:rPr>
          <w:rFonts w:ascii="宋体" w:hAnsi="宋体" w:eastAsia="宋体" w:cs="华文楷体"/>
          <w:color w:val="000000" w:themeColor="text1"/>
          <w:kern w:val="2"/>
          <w:sz w:val="24"/>
          <w:szCs w:val="22"/>
        </w:rPr>
        <w:t>已支付货款，并按合同额的30 ％向甲方支付违约金。若因此给甲方造成损失的，乙方还应赔偿甲方所受的损失。</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③若乙方不能交货的，乙方应退还甲方已支付货款，并按合同额的30 ％向甲方支付违约金。若因此给甲方造成损失的，乙方还应赔偿甲方所受的损失。</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（3）乙方所供货物质量不合格的违约责任</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①若乙方所供货物在质量保证期头三个月内出现货物质量问题，甲方有权要求无条件免费更换相应设备。</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②在质量保证期内，若乙方所供货物修理两次后，仍不能正常使用的产品，凭乙方提供的修理记录，由乙方负责为甲方免费调换同型号同规格的产品或者退货。甲方并有权要求乙方赔偿甲方交易价15%的损失。</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③依据合同规定甲方提出换货的，乙方应在20天内无条件更换至合格，换货所产生的费用由乙方自行承担；若更换后的产品还存在质量问题，甲方有权终止合同要求乙方全额退还货款且乙方应向甲方偿付货款的30%的违约金，违约金不足以补偿甲方损失的，甲方有权要求乙方继续对不足部分予以赔偿。</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2、甲方权利</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违约金及对甲方损失的赔偿金均可由甲方直接从未付的合同货款或质保金中扣除。</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3、违约终止合同</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乙方存在下述任何一种违约行为，在甲方发出违约通知后30天内(或经甲方书面确认的更长时间内)仍未纠正的，甲方有权单方终止本合同。</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（1）如果乙方未能在合同规定的期限内或双方另行确定的延期交货时间内交付合同约定的货物。</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（2）乙方未能履行合同项下的任何其他义务。</w:t>
      </w:r>
    </w:p>
    <w:p>
      <w:pPr>
        <w:pStyle w:val="46"/>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4、合同纠纷处理方式</w:t>
      </w:r>
    </w:p>
    <w:p>
      <w:pPr>
        <w:ind w:firstLine="480" w:firstLineChars="200"/>
        <w:rPr>
          <w:rFonts w:ascii="宋体" w:hAnsi="宋体" w:cs="华文楷体"/>
          <w:color w:val="000000" w:themeColor="text1"/>
          <w:sz w:val="24"/>
          <w:szCs w:val="22"/>
        </w:rPr>
      </w:pPr>
      <w:r>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pPr>
        <w:pStyle w:val="2"/>
        <w:rPr>
          <w:rFonts w:ascii="宋体" w:hAnsi="宋体" w:cs="华文楷体"/>
          <w:color w:val="000000" w:themeColor="text1"/>
          <w:sz w:val="24"/>
          <w:szCs w:val="22"/>
        </w:rPr>
      </w:pPr>
    </w:p>
    <w:p>
      <w:pPr>
        <w:pStyle w:val="2"/>
        <w:rPr>
          <w:rFonts w:ascii="宋体" w:hAnsi="宋体" w:cs="华文楷体"/>
          <w:color w:val="000000" w:themeColor="text1"/>
          <w:sz w:val="24"/>
          <w:szCs w:val="22"/>
        </w:rPr>
      </w:pPr>
    </w:p>
    <w:p>
      <w:pPr>
        <w:widowControl/>
        <w:ind w:firstLine="2811" w:firstLineChars="1000"/>
        <w:jc w:val="left"/>
        <w:rPr>
          <w:rFonts w:hint="eastAsia" w:cs="华文楷体" w:asciiTheme="minorEastAsia" w:hAnsiTheme="minorEastAsia" w:eastAsiaTheme="minorEastAsia"/>
          <w:b/>
          <w:bCs/>
          <w:color w:val="000000" w:themeColor="text1"/>
          <w:kern w:val="0"/>
          <w:sz w:val="28"/>
          <w:szCs w:val="20"/>
        </w:rPr>
      </w:pPr>
    </w:p>
    <w:p>
      <w:pPr>
        <w:widowControl/>
        <w:ind w:firstLine="2811" w:firstLineChars="1000"/>
        <w:jc w:val="left"/>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t>第三章    投标文件格式</w:t>
      </w:r>
    </w:p>
    <w:p>
      <w:pPr>
        <w:pStyle w:val="27"/>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一、投标人提交文件须知</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1.混乱的编排以致投标文件被误读或采购人查找不到有效文件，后果由投标人承担。</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2.所附表格中要求回答的全部问题和信息都必须正面回答。</w:t>
      </w:r>
    </w:p>
    <w:p>
      <w:pPr>
        <w:pStyle w:val="25"/>
        <w:numPr>
          <w:ilvl w:val="0"/>
          <w:numId w:val="0"/>
        </w:numPr>
        <w:spacing w:line="400" w:lineRule="exact"/>
        <w:ind w:firstLine="482" w:firstLineChars="200"/>
        <w:rPr>
          <w:rFonts w:hint="eastAsia"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3.采购人将依据投标人提交的资料并根据自己的判断，决定投标人履行合同合格性及能力。投标人提交的材料将被保密保存，但不退还。</w:t>
      </w:r>
    </w:p>
    <w:p>
      <w:pPr>
        <w:pStyle w:val="25"/>
        <w:numPr>
          <w:ilvl w:val="0"/>
          <w:numId w:val="0"/>
        </w:numPr>
        <w:spacing w:line="400" w:lineRule="exact"/>
        <w:ind w:firstLine="482" w:firstLineChars="200"/>
        <w:rPr>
          <w:rFonts w:hint="eastAsia" w:cs="华文楷体" w:asciiTheme="minorEastAsia" w:hAnsiTheme="minorEastAsia" w:eastAsiaTheme="minorEastAsia"/>
          <w:b/>
          <w:color w:val="000000" w:themeColor="text1"/>
          <w:sz w:val="24"/>
          <w:szCs w:val="24"/>
        </w:rPr>
      </w:pPr>
    </w:p>
    <w:p>
      <w:pPr>
        <w:pStyle w:val="27"/>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二、投标文件格式如下：</w:t>
      </w:r>
    </w:p>
    <w:p>
      <w:pPr>
        <w:pStyle w:val="27"/>
        <w:spacing w:before="0" w:line="400" w:lineRule="exact"/>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szCs w:val="24"/>
        </w:rPr>
        <w:t>(一)投标函</w:t>
      </w:r>
    </w:p>
    <w:p>
      <w:pPr>
        <w:pStyle w:val="30"/>
        <w:adjustRightInd/>
        <w:spacing w:line="340" w:lineRule="exact"/>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u w:val="single"/>
        </w:rPr>
        <w:t>江苏师范大学</w:t>
      </w:r>
      <w:r>
        <w:rPr>
          <w:rFonts w:hint="eastAsia" w:cs="华文楷体" w:asciiTheme="minorEastAsia" w:hAnsiTheme="minorEastAsia" w:eastAsiaTheme="minorEastAsia"/>
          <w:color w:val="000000" w:themeColor="text1"/>
          <w:kern w:val="2"/>
          <w:sz w:val="24"/>
          <w:szCs w:val="24"/>
        </w:rPr>
        <w:t>：</w:t>
      </w:r>
    </w:p>
    <w:p>
      <w:pPr>
        <w:spacing w:line="360" w:lineRule="exact"/>
        <w:ind w:firstLine="597" w:firstLineChars="249"/>
        <w:rPr>
          <w:rFonts w:ascii="宋体" w:hAnsi="宋体"/>
          <w:b/>
          <w:sz w:val="24"/>
        </w:rPr>
      </w:pPr>
      <w:r>
        <w:rPr>
          <w:rFonts w:hint="eastAsia" w:ascii="宋体" w:hAnsi="宋体"/>
          <w:sz w:val="24"/>
          <w:u w:val="single"/>
        </w:rPr>
        <w:t xml:space="preserve">        投标人全称        </w:t>
      </w:r>
      <w:r>
        <w:rPr>
          <w:rFonts w:hint="eastAsia" w:cs="华文楷体" w:asciiTheme="minorEastAsia" w:hAnsiTheme="minorEastAsia" w:eastAsiaTheme="minorEastAsia"/>
          <w:color w:val="000000" w:themeColor="text1"/>
          <w:sz w:val="24"/>
        </w:rPr>
        <w:t>授权</w:t>
      </w:r>
      <w:r>
        <w:rPr>
          <w:rFonts w:hint="eastAsia" w:ascii="宋体" w:hAnsi="宋体"/>
          <w:sz w:val="24"/>
          <w:u w:val="single"/>
        </w:rPr>
        <w:t xml:space="preserve">     投标人代表姓名 (职务、职称)   </w:t>
      </w:r>
      <w:r>
        <w:rPr>
          <w:rFonts w:hint="eastAsia" w:cs="华文楷体" w:asciiTheme="minorEastAsia" w:hAnsiTheme="minorEastAsia" w:eastAsiaTheme="minorEastAsia"/>
          <w:color w:val="000000" w:themeColor="text1"/>
          <w:sz w:val="24"/>
        </w:rPr>
        <w:t>为我方代表，参加贵方组织的</w:t>
      </w:r>
      <w:r>
        <w:rPr>
          <w:rFonts w:hint="eastAsia" w:ascii="宋体" w:hAnsi="宋体"/>
          <w:sz w:val="24"/>
          <w:u w:val="single"/>
        </w:rPr>
        <w:t xml:space="preserve">     项目名称与项目编号     </w:t>
      </w:r>
      <w:r>
        <w:rPr>
          <w:rFonts w:hint="eastAsia" w:cs="华文楷体" w:asciiTheme="minorEastAsia" w:hAnsiTheme="minorEastAsia" w:eastAsiaTheme="minorEastAsia"/>
          <w:color w:val="000000" w:themeColor="text1"/>
          <w:sz w:val="24"/>
        </w:rPr>
        <w:t>招标的有关活动，并对此项目进行投标，</w:t>
      </w:r>
      <w:r>
        <w:rPr>
          <w:rFonts w:hint="eastAsia" w:ascii="宋体" w:hAnsi="宋体"/>
          <w:b/>
          <w:sz w:val="24"/>
        </w:rPr>
        <w:t>报价人民币</w:t>
      </w:r>
      <w:r>
        <w:rPr>
          <w:rFonts w:hint="eastAsia" w:ascii="宋体" w:hAnsi="宋体"/>
          <w:b/>
          <w:sz w:val="24"/>
          <w:u w:val="single"/>
        </w:rPr>
        <w:t>（大写）               元（￥           元）</w:t>
      </w:r>
    </w:p>
    <w:p>
      <w:pPr>
        <w:spacing w:line="340" w:lineRule="exac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供货、安装期为：天，质保期为：年。为此：</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1.我方同意在本项目采购文件中规定的投标日起</w:t>
      </w:r>
      <w:r>
        <w:rPr>
          <w:rFonts w:hint="eastAsia" w:cs="华文楷体" w:asciiTheme="minorEastAsia" w:hAnsiTheme="minorEastAsia" w:eastAsiaTheme="minorEastAsia"/>
          <w:color w:val="000000" w:themeColor="text1"/>
          <w:sz w:val="24"/>
          <w:szCs w:val="24"/>
          <w:u w:val="single"/>
        </w:rPr>
        <w:t>90日内</w:t>
      </w:r>
      <w:r>
        <w:rPr>
          <w:rFonts w:hint="eastAsia" w:cs="华文楷体" w:asciiTheme="minorEastAsia" w:hAnsiTheme="minorEastAsia" w:eastAsiaTheme="minorEastAsia"/>
          <w:color w:val="000000" w:themeColor="text1"/>
          <w:sz w:val="24"/>
          <w:szCs w:val="24"/>
        </w:rPr>
        <w:t>遵守本文中的承诺且在此期限期满之前均具有约束力。</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2.我方承诺已经具备《中华人民共和国政府采购法》中规定的参加政府采购活动的供应商应当具备及本项目规定的资格条件。</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3.提供投标须知规定的全部投标文件，包括投标文件</w:t>
      </w:r>
      <w:r>
        <w:rPr>
          <w:rFonts w:hint="eastAsia" w:cs="华文楷体" w:asciiTheme="minorEastAsia" w:hAnsiTheme="minorEastAsia" w:eastAsiaTheme="minorEastAsia"/>
          <w:b/>
          <w:color w:val="000000" w:themeColor="text1"/>
          <w:sz w:val="24"/>
          <w:szCs w:val="24"/>
        </w:rPr>
        <w:t>正本1份，副本4份。</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4.按采购文件要求提供和交付的货物和服务的投标详见报价明细表及服务方案。</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5.保证忠实执行双方签订的合同，并承担合同规定的责任和义务。</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6.保证遵守采购文件的各项规定。</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7.如果在规定的投标有效期内撤回投标，我方同意将被列入不良记录名单。</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8.我方完全理解贵方不一定接受最低价的投标或收到的任何投标。</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9.我方愿意向贵方提供任何与本项投标有关的数据、情况和技术资料。如果贵方需要，我方愿意提供我方做出的一切承诺的证明材料。</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9.我方已详细审核全部投标文件，包括投标文件修改书（如果有的话）、参考资料及有关附件，确认无误。</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10.我方承诺：采购人如果需追加采购本项目采购文件所列货物及相关服务的，在不改变合同其他实质性条款的前提下，按相同或更优惠的折扣保证供货。</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11.我方承诺接受采购文件中《成交合同》的全部条款且无任何异议。</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提供虚假材料谋取成交的；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采取不正当手段诋毁、排挤其他供应商的；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与采购人、其它供应商或者采购人工作人员恶意串通的；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向采购人、采购人工作人员行贿或者提供其他不正当利益的；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未经采购人同意，在采购过程中与采购人进行协商招标的；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拒绝有关部门监督检查或提供虚假情况的；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地址：</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电话：_</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投标人代表姓名：</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投标人代表联系电话：</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投标人代表E-Mail：</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320" w:firstLineChars="1800"/>
        <w:rPr>
          <w:rFonts w:hint="eastAsia"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bookmarkStart w:id="18" w:name="_Toc20988289"/>
      <w:bookmarkStart w:id="19" w:name="_Toc21000519"/>
      <w:bookmarkStart w:id="20" w:name="_Toc20816120"/>
      <w:bookmarkStart w:id="21" w:name="_Toc20642290"/>
      <w:bookmarkStart w:id="22" w:name="_Toc36287943"/>
      <w:bookmarkStart w:id="23" w:name="_Toc21001363"/>
    </w:p>
    <w:p>
      <w:pPr>
        <w:pStyle w:val="2"/>
        <w:rPr>
          <w:rFonts w:hint="eastAsia" w:cs="华文楷体" w:asciiTheme="minorEastAsia" w:hAnsiTheme="minorEastAsia" w:eastAsiaTheme="minorEastAsia"/>
          <w:color w:val="000000" w:themeColor="text1"/>
          <w:sz w:val="24"/>
        </w:rPr>
      </w:pPr>
    </w:p>
    <w:p>
      <w:pPr>
        <w:pStyle w:val="2"/>
        <w:rPr>
          <w:rFonts w:hint="eastAsia" w:cs="华文楷体" w:asciiTheme="minorEastAsia" w:hAnsiTheme="minorEastAsia" w:eastAsiaTheme="minorEastAsia"/>
          <w:color w:val="000000" w:themeColor="text1"/>
          <w:sz w:val="24"/>
        </w:rPr>
      </w:pPr>
    </w:p>
    <w:p>
      <w:pPr>
        <w:pStyle w:val="24"/>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4"/>
        <w:spacing w:before="0" w:after="0" w:line="340" w:lineRule="exact"/>
        <w:jc w:val="both"/>
        <w:outlineLvl w:val="9"/>
        <w:rPr>
          <w:rFonts w:cs="华文楷体" w:asciiTheme="majorEastAsia" w:hAnsiTheme="majorEastAsia" w:eastAsiaTheme="majorEastAsia"/>
          <w:color w:val="000000" w:themeColor="text1"/>
          <w:sz w:val="24"/>
          <w:szCs w:val="24"/>
        </w:rPr>
      </w:pPr>
      <w:r>
        <w:rPr>
          <w:rFonts w:hint="eastAsia" w:cs="华文楷体" w:asciiTheme="majorEastAsia" w:hAnsiTheme="majorEastAsia" w:eastAsiaTheme="majorEastAsia"/>
          <w:color w:val="000000" w:themeColor="text1"/>
          <w:sz w:val="24"/>
          <w:szCs w:val="24"/>
        </w:rPr>
        <w:t>(二)法定代表人授权委托书</w:t>
      </w:r>
      <w:bookmarkEnd w:id="18"/>
      <w:bookmarkEnd w:id="19"/>
      <w:bookmarkEnd w:id="20"/>
      <w:bookmarkEnd w:id="21"/>
      <w:bookmarkEnd w:id="22"/>
      <w:bookmarkEnd w:id="23"/>
    </w:p>
    <w:p>
      <w:pPr>
        <w:spacing w:line="340" w:lineRule="exact"/>
        <w:rPr>
          <w:rFonts w:asciiTheme="majorEastAsia" w:hAnsiTheme="majorEastAsia" w:eastAsiaTheme="majorEastAsia"/>
          <w:sz w:val="24"/>
        </w:rPr>
      </w:pPr>
      <w:r>
        <w:rPr>
          <w:rFonts w:hint="eastAsia" w:asciiTheme="majorEastAsia" w:hAnsiTheme="majorEastAsia" w:eastAsiaTheme="majorEastAsia"/>
          <w:sz w:val="24"/>
          <w:u w:val="single"/>
        </w:rPr>
        <w:t>江苏师范大学</w:t>
      </w:r>
      <w:r>
        <w:rPr>
          <w:rFonts w:hint="eastAsia" w:asciiTheme="majorEastAsia" w:hAnsiTheme="majorEastAsia" w:eastAsiaTheme="majorEastAsia"/>
          <w:sz w:val="24"/>
        </w:rPr>
        <w:t>：</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本授权书声明：注册于</w:t>
      </w:r>
      <w:r>
        <w:rPr>
          <w:rFonts w:hint="eastAsia" w:asciiTheme="majorEastAsia" w:hAnsiTheme="majorEastAsia" w:eastAsiaTheme="majorEastAsia"/>
          <w:sz w:val="24"/>
          <w:u w:val="single"/>
        </w:rPr>
        <w:t>（投标人住址）</w:t>
      </w:r>
      <w:r>
        <w:rPr>
          <w:rFonts w:hint="eastAsia" w:asciiTheme="majorEastAsia" w:hAnsiTheme="majorEastAsia" w:eastAsiaTheme="majorEastAsia"/>
          <w:sz w:val="24"/>
        </w:rPr>
        <w:t>的</w:t>
      </w:r>
      <w:r>
        <w:rPr>
          <w:rFonts w:hint="eastAsia" w:asciiTheme="majorEastAsia" w:hAnsiTheme="majorEastAsia" w:eastAsiaTheme="majorEastAsia"/>
          <w:sz w:val="24"/>
          <w:u w:val="single"/>
        </w:rPr>
        <w:t>（投标人名称）</w:t>
      </w:r>
      <w:r>
        <w:rPr>
          <w:rFonts w:hint="eastAsia" w:asciiTheme="majorEastAsia" w:hAnsiTheme="majorEastAsia" w:eastAsiaTheme="majorEastAsia"/>
          <w:sz w:val="24"/>
        </w:rPr>
        <w:t>法定代表人</w:t>
      </w:r>
      <w:r>
        <w:rPr>
          <w:rFonts w:hint="eastAsia" w:asciiTheme="majorEastAsia" w:hAnsiTheme="majorEastAsia" w:eastAsiaTheme="majorEastAsia"/>
          <w:sz w:val="24"/>
          <w:u w:val="single"/>
        </w:rPr>
        <w:t>（法定代表人姓名、职务）</w:t>
      </w:r>
      <w:r>
        <w:rPr>
          <w:rFonts w:hint="eastAsia" w:asciiTheme="majorEastAsia" w:hAnsiTheme="majorEastAsia" w:eastAsiaTheme="majorEastAsia"/>
          <w:sz w:val="24"/>
        </w:rPr>
        <w:t>代表本公司授权在下面签字的</w:t>
      </w:r>
      <w:r>
        <w:rPr>
          <w:rFonts w:hint="eastAsia" w:asciiTheme="majorEastAsia" w:hAnsiTheme="majorEastAsia" w:eastAsiaTheme="majorEastAsia"/>
          <w:sz w:val="24"/>
          <w:u w:val="single"/>
        </w:rPr>
        <w:t>（投标人代表姓名、职务）</w:t>
      </w:r>
      <w:r>
        <w:rPr>
          <w:rFonts w:hint="eastAsia" w:asciiTheme="majorEastAsia" w:hAnsiTheme="majorEastAsia" w:eastAsiaTheme="majorEastAsia"/>
          <w:sz w:val="24"/>
        </w:rPr>
        <w:t>为本公司的合法代理人，就贵方组织的项目</w:t>
      </w:r>
      <w:r>
        <w:rPr>
          <w:rFonts w:hint="eastAsia" w:asciiTheme="majorEastAsia" w:hAnsiTheme="majorEastAsia" w:eastAsiaTheme="majorEastAsia"/>
          <w:sz w:val="24"/>
          <w:u w:val="single"/>
        </w:rPr>
        <w:t>（项目名称）</w:t>
      </w:r>
      <w:r>
        <w:rPr>
          <w:rFonts w:hint="eastAsia" w:asciiTheme="majorEastAsia" w:hAnsiTheme="majorEastAsia" w:eastAsiaTheme="majorEastAsia"/>
          <w:sz w:val="24"/>
        </w:rPr>
        <w:t>（项目编号：），以本公司名义处理一切与之有关的事务。</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本授权书于    年  月  日签字生效，特此声明。</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法定代表人印刷体姓名、签字或盖章：</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投标人代表印刷体姓名、签字或盖章：</w:t>
      </w:r>
    </w:p>
    <w:p>
      <w:pPr>
        <w:spacing w:line="3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投标人全称、投标人公章：</w:t>
      </w:r>
      <w:r>
        <w:rPr>
          <w:rFonts w:hint="eastAsia" w:asciiTheme="majorEastAsia" w:hAnsiTheme="majorEastAsia" w:eastAsiaTheme="majorEastAsia"/>
          <w:sz w:val="24"/>
        </w:rPr>
        <w:tab/>
      </w:r>
      <w:r>
        <w:rPr>
          <w:rFonts w:hint="eastAsia" w:asciiTheme="majorEastAsia" w:hAnsiTheme="majorEastAsia" w:eastAsiaTheme="majorEastAsia"/>
          <w:sz w:val="24"/>
        </w:rPr>
        <w:tab/>
      </w:r>
    </w:p>
    <w:p>
      <w:pPr>
        <w:spacing w:line="380" w:lineRule="exact"/>
        <w:rPr>
          <w:rFonts w:asciiTheme="majorEastAsia" w:hAnsiTheme="majorEastAsia" w:eastAsiaTheme="majorEastAsia"/>
          <w:sz w:val="24"/>
        </w:rPr>
      </w:pPr>
      <w:r>
        <w:rPr>
          <w:rFonts w:hint="eastAsia" w:asciiTheme="majorEastAsia" w:hAnsiTheme="majorEastAsia" w:eastAsiaTheme="majorEastAsia"/>
          <w:sz w:val="24"/>
        </w:rPr>
        <w:t xml:space="preserve">    日期：</w:t>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 xml:space="preserve">    年    月    日</w:t>
      </w:r>
    </w:p>
    <w:p>
      <w:pPr>
        <w:spacing w:line="340" w:lineRule="exact"/>
        <w:rPr>
          <w:rFonts w:cs="华文楷体" w:asciiTheme="minorEastAsia" w:hAnsiTheme="minorEastAsia" w:eastAsiaTheme="minorEastAsia"/>
          <w:color w:val="000000" w:themeColor="text1"/>
        </w:rPr>
      </w:pPr>
      <w:r>
        <w:rPr>
          <w:rFonts w:cs="华文楷体" w:asciiTheme="minorEastAsia" w:hAnsiTheme="minorEastAsia" w:eastAsiaTheme="minorEastAsia"/>
          <w:color w:val="000000" w:themeColor="text1"/>
          <w:sz w:val="28"/>
          <w:szCs w:val="28"/>
        </w:rPr>
        <w:pict>
          <v:shape id="_x0000_s1026" o:spid="_x0000_s1026" o:spt="202" type="#_x0000_t202" style="position:absolute;left:0pt;margin-left:35.85pt;margin-top:14.9pt;height:78pt;width:376.15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v:textbox>
            <w10:wrap type="square"/>
          </v:shape>
        </w:pict>
      </w:r>
      <w:bookmarkStart w:id="24" w:name="_Toc86202638"/>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color w:val="000000" w:themeColor="text1"/>
          <w:sz w:val="28"/>
          <w:szCs w:val="28"/>
        </w:rPr>
        <w:pict>
          <v:shape id="文本框 1" o:spid="_x0000_s1027" o:spt="202" type="#_x0000_t202" style="position:absolute;left:0pt;margin-left:36.75pt;margin-top:24.75pt;height:78pt;width:376.15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v:textbox>
            <w10:wrap type="square"/>
          </v:shape>
        </w:pict>
      </w:r>
      <w:r>
        <w:rPr>
          <w:rFonts w:cs="华文楷体" w:asciiTheme="minorEastAsia" w:hAnsiTheme="minorEastAsia" w:eastAsiaTheme="minorEastAsia"/>
          <w:b/>
          <w:color w:val="000000" w:themeColor="text1"/>
          <w:sz w:val="24"/>
        </w:rPr>
        <w:br w:type="page"/>
      </w:r>
    </w:p>
    <w:p>
      <w:pPr>
        <w:numPr>
          <w:ilvl w:val="0"/>
          <w:numId w:val="6"/>
        </w:numPr>
        <w:spacing w:line="400" w:lineRule="exact"/>
        <w:rPr>
          <w:rFonts w:hint="eastAsia"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投标报价一览表</w:t>
      </w:r>
    </w:p>
    <w:p>
      <w:pPr>
        <w:pStyle w:val="2"/>
        <w:rPr>
          <w:rFonts w:hint="eastAsia"/>
        </w:rPr>
      </w:pPr>
    </w:p>
    <w:tbl>
      <w:tblPr>
        <w:tblStyle w:val="15"/>
        <w:tblW w:w="9303" w:type="dxa"/>
        <w:tblInd w:w="95" w:type="dxa"/>
        <w:tblLayout w:type="fixed"/>
        <w:tblCellMar>
          <w:top w:w="0" w:type="dxa"/>
          <w:left w:w="108" w:type="dxa"/>
          <w:bottom w:w="0" w:type="dxa"/>
          <w:right w:w="108" w:type="dxa"/>
        </w:tblCellMar>
      </w:tblPr>
      <w:tblGrid>
        <w:gridCol w:w="722"/>
        <w:gridCol w:w="1134"/>
        <w:gridCol w:w="2805"/>
        <w:gridCol w:w="1164"/>
        <w:gridCol w:w="1701"/>
        <w:gridCol w:w="1777"/>
      </w:tblGrid>
      <w:tr>
        <w:trPr>
          <w:trHeight w:val="455" w:hRule="atLeast"/>
        </w:trPr>
        <w:tc>
          <w:tcPr>
            <w:tcW w:w="722"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序号</w:t>
            </w:r>
          </w:p>
        </w:tc>
        <w:tc>
          <w:tcPr>
            <w:tcW w:w="3939" w:type="dxa"/>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名称</w:t>
            </w:r>
          </w:p>
        </w:tc>
        <w:tc>
          <w:tcPr>
            <w:tcW w:w="1164"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数量</w:t>
            </w:r>
          </w:p>
        </w:tc>
        <w:tc>
          <w:tcPr>
            <w:tcW w:w="1701" w:type="dxa"/>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单价（元）</w:t>
            </w:r>
          </w:p>
        </w:tc>
        <w:tc>
          <w:tcPr>
            <w:tcW w:w="1777" w:type="dxa"/>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总价（元）</w:t>
            </w:r>
          </w:p>
        </w:tc>
      </w:tr>
      <w:tr>
        <w:tblPrEx>
          <w:tblCellMar>
            <w:top w:w="0" w:type="dxa"/>
            <w:left w:w="108" w:type="dxa"/>
            <w:bottom w:w="0" w:type="dxa"/>
            <w:right w:w="108" w:type="dxa"/>
          </w:tblCellMar>
        </w:tblPrEx>
        <w:trPr>
          <w:trHeight w:val="9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Cs w:val="21"/>
              </w:rPr>
            </w:pPr>
            <w:r>
              <w:rPr>
                <w:rFonts w:hint="eastAsia" w:cs="华文楷体" w:asciiTheme="minorEastAsia" w:hAnsiTheme="minorEastAsia" w:eastAsiaTheme="minorEastAsia"/>
                <w:color w:val="000000" w:themeColor="text1"/>
                <w:kern w:val="0"/>
                <w:szCs w:val="21"/>
              </w:rPr>
              <w:t>1</w:t>
            </w:r>
          </w:p>
        </w:tc>
        <w:tc>
          <w:tcPr>
            <w:tcW w:w="3939" w:type="dxa"/>
            <w:gridSpan w:val="2"/>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r>
              <w:rPr>
                <w:rFonts w:hint="eastAsia" w:asciiTheme="majorEastAsia" w:hAnsiTheme="majorEastAsia" w:eastAsiaTheme="majorEastAsia"/>
                <w:sz w:val="24"/>
              </w:rPr>
              <w:t>智慧校友服务平台（一期）</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Cs w:val="21"/>
              </w:rPr>
            </w:pPr>
            <w:r>
              <w:rPr>
                <w:rFonts w:hint="eastAsia" w:cs="华文楷体" w:asciiTheme="minorEastAsia" w:hAnsiTheme="minorEastAsia" w:eastAsiaTheme="minorEastAsia"/>
                <w:color w:val="000000" w:themeColor="text1"/>
                <w:kern w:val="0"/>
                <w:szCs w:val="21"/>
              </w:rPr>
              <w:t>1套</w:t>
            </w:r>
          </w:p>
        </w:tc>
        <w:tc>
          <w:tcPr>
            <w:tcW w:w="1701"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Cs w:val="21"/>
              </w:rPr>
            </w:pPr>
          </w:p>
        </w:tc>
        <w:tc>
          <w:tcPr>
            <w:tcW w:w="1777"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Cs w:val="21"/>
              </w:rPr>
            </w:pPr>
          </w:p>
        </w:tc>
      </w:tr>
      <w:tr>
        <w:tblPrEx>
          <w:tblCellMar>
            <w:top w:w="0" w:type="dxa"/>
            <w:left w:w="108" w:type="dxa"/>
            <w:bottom w:w="0" w:type="dxa"/>
            <w:right w:w="108" w:type="dxa"/>
          </w:tblCellMar>
        </w:tblPrEx>
        <w:trPr>
          <w:trHeight w:val="941" w:hRule="atLeast"/>
        </w:trPr>
        <w:tc>
          <w:tcPr>
            <w:tcW w:w="1856" w:type="dxa"/>
            <w:gridSpan w:val="2"/>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供货期（天）</w:t>
            </w:r>
          </w:p>
        </w:tc>
        <w:tc>
          <w:tcPr>
            <w:tcW w:w="7447" w:type="dxa"/>
            <w:gridSpan w:val="4"/>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941" w:hRule="atLeast"/>
        </w:trPr>
        <w:tc>
          <w:tcPr>
            <w:tcW w:w="1856" w:type="dxa"/>
            <w:gridSpan w:val="2"/>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质保期（年）</w:t>
            </w:r>
          </w:p>
        </w:tc>
        <w:tc>
          <w:tcPr>
            <w:tcW w:w="7447" w:type="dxa"/>
            <w:gridSpan w:val="4"/>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848" w:hRule="atLeast"/>
        </w:trPr>
        <w:tc>
          <w:tcPr>
            <w:tcW w:w="18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jc w:val="center"/>
              <w:rPr>
                <w:rFonts w:cs="华文楷体" w:asciiTheme="minorEastAsia" w:hAnsiTheme="minorEastAsia" w:eastAsiaTheme="minorEastAsia"/>
                <w:color w:val="000000" w:themeColor="text1"/>
                <w:kern w:val="2"/>
              </w:rPr>
            </w:pPr>
            <w:r>
              <w:rPr>
                <w:rFonts w:hint="eastAsia" w:cs="华文楷体" w:asciiTheme="minorEastAsia" w:hAnsiTheme="minorEastAsia" w:eastAsiaTheme="minorEastAsia"/>
                <w:b/>
                <w:bCs/>
                <w:color w:val="000000" w:themeColor="text1"/>
                <w:sz w:val="24"/>
                <w:szCs w:val="24"/>
              </w:rPr>
              <w:t>合计（人民币）</w:t>
            </w:r>
          </w:p>
        </w:tc>
        <w:tc>
          <w:tcPr>
            <w:tcW w:w="7447"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 w:val="24"/>
              </w:rPr>
              <w:t>小写：                 （大写：                           ）</w:t>
            </w:r>
          </w:p>
        </w:tc>
      </w:tr>
    </w:tbl>
    <w:p>
      <w:pPr>
        <w:spacing w:line="340" w:lineRule="exact"/>
        <w:rPr>
          <w:rFonts w:cs="华文楷体" w:asciiTheme="minorEastAsia" w:hAnsiTheme="minorEastAsia" w:eastAsiaTheme="minorEastAsia"/>
          <w:b/>
          <w:color w:val="000000" w:themeColor="text1"/>
          <w:sz w:val="24"/>
        </w:rPr>
      </w:pPr>
    </w:p>
    <w:p>
      <w:pPr>
        <w:spacing w:line="340" w:lineRule="exact"/>
        <w:rPr>
          <w:rFonts w:cs="华文楷体" w:asciiTheme="minorEastAsia" w:hAnsiTheme="minorEastAsia" w:eastAsiaTheme="minorEastAsia"/>
          <w:b/>
          <w:color w:val="000000" w:themeColor="text1"/>
          <w:sz w:val="24"/>
        </w:rPr>
      </w:pPr>
      <w:bookmarkStart w:id="25" w:name="_Hlk148512214"/>
      <w:r>
        <w:rPr>
          <w:rFonts w:hint="eastAsia" w:cs="华文楷体" w:asciiTheme="minorEastAsia" w:hAnsiTheme="minorEastAsia" w:eastAsiaTheme="minorEastAsia"/>
          <w:b/>
          <w:color w:val="000000" w:themeColor="text1"/>
          <w:sz w:val="24"/>
        </w:rPr>
        <w:t>注：投标报价包含了设备成本、运输、装卸、安装、调试、配合费、保质期内的服务、利润、税金和承担的风险等一切可能产生的费用。</w:t>
      </w:r>
    </w:p>
    <w:bookmarkEnd w:id="25"/>
    <w:p>
      <w:pPr>
        <w:spacing w:line="340" w:lineRule="exact"/>
        <w:ind w:firstLine="480" w:firstLineChars="2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年    月    日</w:t>
      </w:r>
    </w:p>
    <w:p>
      <w:pPr>
        <w:spacing w:line="400" w:lineRule="exact"/>
        <w:ind w:firstLine="723" w:firstLineChars="300"/>
        <w:rPr>
          <w:rFonts w:cs="华文楷体" w:asciiTheme="minorEastAsia" w:hAnsiTheme="minorEastAsia" w:eastAsiaTheme="minorEastAsia"/>
          <w:b/>
          <w:color w:val="000000" w:themeColor="text1"/>
          <w:sz w:val="24"/>
        </w:rPr>
      </w:pPr>
    </w:p>
    <w:p>
      <w:pPr>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（四）投标报价明细表</w:t>
      </w:r>
    </w:p>
    <w:p>
      <w:pPr>
        <w:spacing w:line="340" w:lineRule="exact"/>
        <w:ind w:firstLine="482" w:firstLineChars="200"/>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t>由投标人自行制定表格内容，须体现本项目</w:t>
      </w:r>
      <w:r>
        <w:rPr>
          <w:rFonts w:hint="eastAsia" w:cs="华文楷体" w:asciiTheme="minorEastAsia" w:hAnsiTheme="minorEastAsia" w:eastAsiaTheme="minorEastAsia"/>
          <w:b/>
          <w:color w:val="000000" w:themeColor="text1"/>
          <w:sz w:val="24"/>
          <w:lang w:val="en-US" w:eastAsia="zh-CN"/>
        </w:rPr>
        <w:t>的价格构成</w:t>
      </w:r>
      <w:r>
        <w:rPr>
          <w:rFonts w:cs="华文楷体" w:asciiTheme="minorEastAsia" w:hAnsiTheme="minorEastAsia" w:eastAsiaTheme="minorEastAsia"/>
          <w:b/>
          <w:color w:val="000000" w:themeColor="text1"/>
          <w:sz w:val="24"/>
        </w:rPr>
        <w:t>。</w:t>
      </w:r>
    </w:p>
    <w:p>
      <w:pPr>
        <w:spacing w:line="340" w:lineRule="exact"/>
        <w:ind w:firstLine="482" w:firstLineChars="200"/>
        <w:rPr>
          <w:rFonts w:cs="华文楷体" w:asciiTheme="minorEastAsia" w:hAnsiTheme="minorEastAsia" w:eastAsiaTheme="minorEastAsia"/>
          <w:b/>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年    月    日</w:t>
      </w:r>
    </w:p>
    <w:p>
      <w:pPr>
        <w:spacing w:line="340" w:lineRule="exact"/>
        <w:rPr>
          <w:rFonts w:cs="华文楷体" w:asciiTheme="minorEastAsia" w:hAnsiTheme="minorEastAsia" w:eastAsiaTheme="minorEastAsia"/>
          <w:b/>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rPr>
      </w:pPr>
    </w:p>
    <w:p>
      <w:pPr>
        <w:spacing w:line="40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注：</w:t>
      </w:r>
      <w:r>
        <w:rPr>
          <w:rFonts w:cs="华文楷体" w:asciiTheme="minorEastAsia" w:hAnsiTheme="minorEastAsia" w:eastAsiaTheme="minorEastAsia"/>
          <w:b/>
          <w:color w:val="000000" w:themeColor="text1"/>
          <w:sz w:val="24"/>
        </w:rPr>
        <w:t xml:space="preserve"> </w:t>
      </w:r>
    </w:p>
    <w:p>
      <w:pPr>
        <w:spacing w:line="400" w:lineRule="exac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t>2</w:t>
      </w:r>
      <w:r>
        <w:rPr>
          <w:rFonts w:hint="eastAsia" w:cs="华文楷体" w:asciiTheme="minorEastAsia" w:hAnsiTheme="minorEastAsia" w:eastAsiaTheme="minorEastAsia"/>
          <w:b/>
          <w:color w:val="000000" w:themeColor="text1"/>
          <w:sz w:val="24"/>
        </w:rPr>
        <w:t>）投标报价包含了设备成本、运输、装卸、安装、调试、配合费、保质期内的服务、利润、税金和承担的风险等一切可能产生的费用。</w:t>
      </w:r>
    </w:p>
    <w:p>
      <w:pPr>
        <w:spacing w:line="400" w:lineRule="exact"/>
        <w:rPr>
          <w:rFonts w:cs="华文楷体" w:asciiTheme="minorEastAsia" w:hAnsiTheme="minorEastAsia" w:eastAsiaTheme="minorEastAsia"/>
          <w:b/>
          <w:color w:val="000000" w:themeColor="text1"/>
          <w:sz w:val="24"/>
        </w:rPr>
      </w:pPr>
    </w:p>
    <w:p>
      <w:pPr>
        <w:spacing w:line="400" w:lineRule="exact"/>
        <w:rPr>
          <w:rFonts w:cs="华文楷体" w:asciiTheme="minorEastAsia" w:hAnsiTheme="minorEastAsia" w:eastAsiaTheme="minorEastAsia"/>
          <w:b/>
          <w:color w:val="000000" w:themeColor="text1"/>
          <w:sz w:val="24"/>
        </w:rPr>
      </w:pPr>
    </w:p>
    <w:p>
      <w:pPr>
        <w:spacing w:line="400" w:lineRule="exact"/>
        <w:rPr>
          <w:rFonts w:cs="华文楷体" w:asciiTheme="minorEastAsia" w:hAnsiTheme="minorEastAsia" w:eastAsiaTheme="minorEastAsia"/>
          <w:b/>
          <w:color w:val="000000" w:themeColor="text1"/>
          <w:sz w:val="24"/>
        </w:rPr>
      </w:pPr>
    </w:p>
    <w:p>
      <w:pPr>
        <w:spacing w:line="400" w:lineRule="exact"/>
        <w:rPr>
          <w:rFonts w:cs="华文楷体" w:asciiTheme="minorEastAsia" w:hAnsiTheme="minorEastAsia" w:eastAsiaTheme="minorEastAsia"/>
          <w:b/>
          <w:color w:val="000000" w:themeColor="text1"/>
          <w:sz w:val="24"/>
        </w:rPr>
      </w:pPr>
    </w:p>
    <w:p>
      <w:pPr>
        <w:pStyle w:val="14"/>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（五）投标人主要业绩一览表（</w:t>
      </w:r>
      <w:bookmarkStart w:id="26" w:name="_Hlk97887590"/>
      <w:r>
        <w:rPr>
          <w:rFonts w:hint="eastAsia" w:asciiTheme="minorEastAsia" w:hAnsiTheme="minorEastAsia" w:eastAsiaTheme="minorEastAsia"/>
          <w:b/>
          <w:sz w:val="24"/>
          <w:szCs w:val="24"/>
        </w:rPr>
        <w:t>2021年</w:t>
      </w:r>
      <w:r>
        <w:rPr>
          <w:rFonts w:hint="eastAsia" w:asciiTheme="minorEastAsia" w:hAnsiTheme="minorEastAsia" w:eastAsiaTheme="minorEastAsia"/>
          <w:b/>
          <w:sz w:val="24"/>
          <w:szCs w:val="24"/>
          <w:lang w:val="en-US" w:eastAsia="zh-CN"/>
        </w:rPr>
        <w:t>5</w:t>
      </w:r>
      <w:r>
        <w:rPr>
          <w:rFonts w:hint="eastAsia" w:asciiTheme="minorEastAsia" w:hAnsiTheme="minorEastAsia" w:eastAsiaTheme="minorEastAsia"/>
          <w:b/>
          <w:sz w:val="24"/>
          <w:szCs w:val="24"/>
        </w:rPr>
        <w:t>月1日以来类似业绩</w:t>
      </w:r>
      <w:bookmarkEnd w:id="26"/>
      <w:r>
        <w:rPr>
          <w:rFonts w:hint="eastAsia" w:asciiTheme="minorEastAsia" w:hAnsiTheme="minorEastAsia" w:eastAsiaTheme="minorEastAsia"/>
          <w:b/>
          <w:sz w:val="24"/>
          <w:szCs w:val="24"/>
        </w:rPr>
        <w:t>）</w:t>
      </w:r>
    </w:p>
    <w:p>
      <w:pPr>
        <w:pStyle w:val="14"/>
        <w:spacing w:after="0" w:line="4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w:t>
      </w:r>
    </w:p>
    <w:tbl>
      <w:tblPr>
        <w:tblStyle w:val="15"/>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70"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6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3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合同金额</w:t>
            </w:r>
          </w:p>
        </w:tc>
        <w:tc>
          <w:tcPr>
            <w:tcW w:w="2099" w:type="dxa"/>
          </w:tcPr>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27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bl>
    <w:p>
      <w:pPr>
        <w:pStyle w:val="14"/>
        <w:spacing w:after="0"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注：应提供类似合同复印件加盖单位公章。</w:t>
      </w:r>
    </w:p>
    <w:p>
      <w:pPr>
        <w:widowControl/>
        <w:jc w:val="left"/>
        <w:rPr>
          <w:rFonts w:cs="华文楷体" w:asciiTheme="minorEastAsia" w:hAnsiTheme="minorEastAsia" w:eastAsiaTheme="minorEastAsia"/>
          <w:b/>
          <w:color w:val="000000" w:themeColor="text1"/>
          <w:sz w:val="24"/>
        </w:rPr>
      </w:pPr>
    </w:p>
    <w:p>
      <w:pPr>
        <w:widowControl/>
        <w:jc w:val="lef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（六）商务与技术条款偏离表</w:t>
      </w:r>
    </w:p>
    <w:tbl>
      <w:tblPr>
        <w:tblStyle w:val="15"/>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磋商文件</w:t>
            </w:r>
            <w:r>
              <w:rPr>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投标</w:t>
            </w:r>
            <w:r>
              <w:rPr>
                <w:b/>
                <w:bCs/>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bl>
    <w:p>
      <w:pPr>
        <w:ind w:left="413" w:hanging="413" w:hangingChars="196"/>
        <w:rPr>
          <w:b/>
        </w:rPr>
      </w:pPr>
      <w:r>
        <w:rPr>
          <w:b/>
        </w:rPr>
        <w:t>注：如无偏差，投标人不需要填表，但应声明：“本</w:t>
      </w:r>
      <w:r>
        <w:rPr>
          <w:rFonts w:hint="eastAsia"/>
          <w:b/>
        </w:rPr>
        <w:t>响应</w:t>
      </w:r>
      <w:r>
        <w:rPr>
          <w:b/>
        </w:rPr>
        <w:t>文件完全响应磋商文件所有条款的要求，无偏差。”</w:t>
      </w:r>
      <w:bookmarkEnd w:id="24"/>
      <w:r>
        <w:rPr>
          <w:rFonts w:cs="华文楷体" w:asciiTheme="minorEastAsia" w:hAnsiTheme="minorEastAsia" w:eastAsiaTheme="minorEastAsia"/>
          <w:b/>
          <w:color w:val="000000" w:themeColor="text1"/>
          <w:sz w:val="24"/>
        </w:rPr>
        <w:t>投标人：</w:t>
      </w:r>
      <w:r>
        <w:rPr>
          <w:rFonts w:cs="华文楷体" w:asciiTheme="minorEastAsia" w:hAnsiTheme="minorEastAsia" w:eastAsiaTheme="minorEastAsia"/>
          <w:b/>
          <w:color w:val="000000" w:themeColor="text1"/>
          <w:sz w:val="24"/>
          <w:u w:val="single"/>
        </w:rPr>
        <w:t xml:space="preserve">   （单位全称） （盖章）   </w:t>
      </w:r>
    </w:p>
    <w:p>
      <w:pPr>
        <w:pStyle w:val="27"/>
        <w:rPr>
          <w:rFonts w:cs="华文楷体" w:asciiTheme="minorEastAsia" w:hAnsiTheme="minorEastAsia" w:eastAsiaTheme="minorEastAsia"/>
          <w:b w:val="0"/>
          <w:color w:val="000000" w:themeColor="text1"/>
          <w:sz w:val="24"/>
        </w:rPr>
      </w:pPr>
      <w:r>
        <w:rPr>
          <w:rFonts w:hint="eastAsia" w:cs="华文楷体" w:asciiTheme="minorEastAsia" w:hAnsiTheme="minorEastAsia" w:eastAsiaTheme="minorEastAsia"/>
          <w:b w:val="0"/>
          <w:color w:val="000000" w:themeColor="text1"/>
          <w:sz w:val="24"/>
        </w:rPr>
        <w:t>投标人代表签字：___________________</w:t>
      </w:r>
    </w:p>
    <w:p>
      <w:pPr>
        <w:pStyle w:val="27"/>
        <w:rPr>
          <w:rFonts w:cs="华文楷体" w:asciiTheme="minorEastAsia" w:hAnsiTheme="minorEastAsia" w:eastAsiaTheme="minorEastAsia"/>
          <w:b w:val="0"/>
          <w:color w:val="000000" w:themeColor="text1"/>
          <w:sz w:val="24"/>
        </w:rPr>
      </w:pPr>
      <w:bookmarkStart w:id="27" w:name="_Toc86202650"/>
      <w:r>
        <w:rPr>
          <w:rFonts w:hint="eastAsia" w:cs="华文楷体" w:asciiTheme="minorEastAsia" w:hAnsiTheme="minorEastAsia" w:eastAsiaTheme="minorEastAsia"/>
          <w:b w:val="0"/>
          <w:color w:val="000000" w:themeColor="text1"/>
          <w:sz w:val="24"/>
        </w:rPr>
        <w:t>日期：</w:t>
      </w:r>
      <w:bookmarkEnd w:id="27"/>
    </w:p>
    <w:p>
      <w:pPr>
        <w:pStyle w:val="27"/>
        <w:rPr>
          <w:rFonts w:cs="华文楷体" w:asciiTheme="minorEastAsia" w:hAnsiTheme="minorEastAsia" w:eastAsiaTheme="minorEastAsia"/>
          <w:b w:val="0"/>
          <w:color w:val="000000" w:themeColor="text1"/>
          <w:sz w:val="24"/>
        </w:rPr>
      </w:pP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（七）资格审查符合性审查材料索引表</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cs="楷体"/>
                <w:bCs/>
                <w:sz w:val="24"/>
              </w:rPr>
              <w:t>法定代表人的授权委托书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质保与服务承诺书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cs="楷体"/>
                <w:bCs/>
                <w:sz w:val="24"/>
              </w:rPr>
              <w:t>营业执照复印件</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商务和技术偏离表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bl>
    <w:p>
      <w:pPr>
        <w:pStyle w:val="44"/>
        <w:spacing w:after="0"/>
        <w:ind w:firstLine="283" w:firstLineChars="118"/>
        <w:rPr>
          <w:rFonts w:ascii="宋体" w:hAnsi="宋体" w:eastAsia="宋体"/>
          <w:sz w:val="24"/>
          <w:szCs w:val="24"/>
        </w:rPr>
      </w:pPr>
    </w:p>
    <w:p>
      <w:pPr>
        <w:pStyle w:val="44"/>
        <w:spacing w:after="0"/>
        <w:ind w:firstLine="283" w:firstLineChars="118"/>
        <w:rPr>
          <w:rFonts w:ascii="宋体" w:hAnsi="宋体" w:eastAsia="宋体"/>
          <w:sz w:val="24"/>
          <w:szCs w:val="24"/>
        </w:rPr>
      </w:pPr>
      <w:r>
        <w:rPr>
          <w:rFonts w:hint="eastAsia" w:ascii="宋体" w:hAnsi="宋体" w:eastAsia="宋体"/>
          <w:sz w:val="24"/>
          <w:szCs w:val="24"/>
        </w:rPr>
        <w:t>注：</w:t>
      </w:r>
    </w:p>
    <w:p>
      <w:pPr>
        <w:pStyle w:val="44"/>
        <w:spacing w:after="0"/>
        <w:ind w:firstLine="284" w:firstLineChars="118"/>
        <w:rPr>
          <w:rFonts w:ascii="宋体" w:hAnsi="宋体" w:eastAsia="宋体"/>
          <w:b/>
          <w:sz w:val="24"/>
          <w:szCs w:val="24"/>
        </w:rPr>
      </w:pPr>
      <w:r>
        <w:rPr>
          <w:rFonts w:hint="eastAsia" w:ascii="宋体" w:hAnsi="宋体" w:eastAsia="宋体"/>
          <w:b/>
          <w:sz w:val="24"/>
          <w:szCs w:val="24"/>
        </w:rPr>
        <w:t>1）投标人需标明相关材料在投标文件中的对应页码。</w:t>
      </w:r>
    </w:p>
    <w:p>
      <w:pPr>
        <w:pStyle w:val="44"/>
        <w:spacing w:after="0"/>
        <w:ind w:firstLine="283" w:firstLineChars="118"/>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14"/>
        <w:ind w:firstLine="210"/>
      </w:pPr>
    </w:p>
    <w:p>
      <w:pPr>
        <w:pStyle w:val="14"/>
        <w:ind w:firstLine="210"/>
      </w:pPr>
    </w:p>
    <w:p>
      <w:pPr>
        <w:pStyle w:val="14"/>
        <w:ind w:firstLine="210"/>
      </w:pPr>
    </w:p>
    <w:p>
      <w:pPr>
        <w:pStyle w:val="14"/>
        <w:ind w:firstLine="210"/>
      </w:pP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（八）评分索引表</w:t>
      </w:r>
    </w:p>
    <w:tbl>
      <w:tblPr>
        <w:tblStyle w:val="15"/>
        <w:tblW w:w="985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9"/>
        <w:gridCol w:w="734"/>
        <w:gridCol w:w="1418"/>
        <w:gridCol w:w="5511"/>
        <w:gridCol w:w="708"/>
        <w:gridCol w:w="214"/>
        <w:gridCol w:w="16"/>
        <w:gridCol w:w="6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5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73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b/>
                <w:bCs/>
                <w:sz w:val="24"/>
                <w:szCs w:val="24"/>
              </w:rPr>
              <w:t>评审因素</w:t>
            </w:r>
          </w:p>
        </w:tc>
        <w:tc>
          <w:tcPr>
            <w:tcW w:w="14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b/>
                <w:bCs/>
                <w:sz w:val="24"/>
                <w:szCs w:val="24"/>
              </w:rPr>
              <w:t>评审项目</w:t>
            </w:r>
          </w:p>
        </w:tc>
        <w:tc>
          <w:tcPr>
            <w:tcW w:w="551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b/>
                <w:bCs/>
                <w:sz w:val="24"/>
                <w:szCs w:val="24"/>
              </w:rPr>
              <w:t>评审细则</w:t>
            </w:r>
          </w:p>
        </w:tc>
        <w:tc>
          <w:tcPr>
            <w:tcW w:w="708" w:type="dxa"/>
            <w:tcBorders>
              <w:top w:val="single" w:color="000000" w:sz="6" w:space="0"/>
              <w:left w:val="nil"/>
              <w:bottom w:val="single" w:color="000000" w:sz="6" w:space="0"/>
              <w:right w:val="nil"/>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b/>
                <w:bCs/>
                <w:sz w:val="24"/>
                <w:szCs w:val="24"/>
              </w:rPr>
              <w:t xml:space="preserve"> 分值</w:t>
            </w:r>
          </w:p>
        </w:tc>
        <w:tc>
          <w:tcPr>
            <w:tcW w:w="230"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rPr>
                <w:rFonts w:hint="eastAsia" w:ascii="宋体" w:hAnsi="宋体" w:eastAsia="宋体" w:cs="宋体"/>
                <w:sz w:val="24"/>
                <w:szCs w:val="24"/>
              </w:rPr>
            </w:pPr>
          </w:p>
        </w:tc>
        <w:tc>
          <w:tcPr>
            <w:tcW w:w="692" w:type="dxa"/>
            <w:tcBorders>
              <w:top w:val="single" w:color="000000" w:sz="6" w:space="0"/>
              <w:left w:val="nil"/>
              <w:bottom w:val="single" w:color="000000" w:sz="6" w:space="0"/>
              <w:right w:val="single" w:color="000000" w:sz="6" w:space="0"/>
            </w:tcBorders>
          </w:tcPr>
          <w:p>
            <w:pPr>
              <w:spacing w:before="100" w:beforeAutospacing="1" w:after="100" w:afterAutospacing="1"/>
              <w:jc w:val="center"/>
              <w:rPr>
                <w:rFonts w:hint="eastAsia" w:ascii="宋体" w:hAnsi="宋体" w:eastAsia="宋体" w:cs="宋体"/>
                <w:b/>
                <w:sz w:val="24"/>
                <w:szCs w:val="24"/>
              </w:rPr>
            </w:pPr>
            <w:r>
              <w:rPr>
                <w:rFonts w:hint="eastAsia" w:ascii="宋体" w:hAnsi="宋体" w:eastAsia="宋体" w:cs="宋体"/>
                <w:b/>
                <w:sz w:val="24"/>
                <w:szCs w:val="24"/>
              </w:rPr>
              <w:t>对应 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55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4"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w:t>
            </w:r>
          </w:p>
          <w:p>
            <w:pPr>
              <w:jc w:val="center"/>
              <w:rPr>
                <w:rFonts w:hint="eastAsia" w:ascii="宋体" w:hAnsi="宋体" w:eastAsia="宋体" w:cs="宋体"/>
                <w:sz w:val="24"/>
                <w:szCs w:val="24"/>
              </w:rPr>
            </w:pPr>
            <w:r>
              <w:rPr>
                <w:rFonts w:hint="eastAsia" w:ascii="宋体" w:hAnsi="宋体" w:eastAsia="宋体" w:cs="宋体"/>
                <w:sz w:val="24"/>
                <w:szCs w:val="24"/>
              </w:rPr>
              <w:t>30分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技术参数及功能响应 （30分）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hint="eastAsia" w:ascii="宋体" w:hAnsi="宋体" w:eastAsia="宋体" w:cs="宋体"/>
                <w:sz w:val="24"/>
                <w:szCs w:val="24"/>
              </w:rPr>
            </w:pPr>
            <w:r>
              <w:rPr>
                <w:rFonts w:hint="eastAsia" w:ascii="宋体" w:hAnsi="宋体" w:eastAsia="宋体" w:cs="宋体"/>
                <w:color w:val="000000"/>
                <w:sz w:val="24"/>
                <w:szCs w:val="24"/>
              </w:rPr>
              <w:t>投标产品技术参数全部符合磋商文件技术要求的得24分。每负偏离一项扣2分，扣完为止；有一项评委组认可的正偏离加1分。本项最高得30分。</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30</w:t>
            </w:r>
          </w:p>
        </w:tc>
        <w:tc>
          <w:tcPr>
            <w:tcW w:w="23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rPr>
                <w:rFonts w:hint="eastAsia" w:ascii="宋体" w:hAnsi="宋体" w:eastAsia="宋体" w:cs="宋体"/>
                <w:sz w:val="24"/>
                <w:szCs w:val="24"/>
              </w:rPr>
            </w:pPr>
          </w:p>
        </w:tc>
        <w:tc>
          <w:tcPr>
            <w:tcW w:w="692" w:type="dxa"/>
            <w:tcBorders>
              <w:top w:val="nil"/>
              <w:left w:val="nil"/>
              <w:bottom w:val="single" w:color="000000" w:sz="6" w:space="0"/>
              <w:right w:val="single" w:color="000000" w:sz="6" w:space="0"/>
            </w:tcBorders>
          </w:tcPr>
          <w:p>
            <w:pPr>
              <w:spacing w:before="100" w:beforeAutospacing="1" w:after="100" w:afterAutospacing="1"/>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rPr>
                <w:rFonts w:hint="eastAsia" w:ascii="宋体" w:hAnsi="宋体" w:eastAsia="宋体" w:cs="宋体"/>
                <w:sz w:val="24"/>
                <w:szCs w:val="24"/>
              </w:rPr>
            </w:pPr>
            <w:r>
              <w:rPr>
                <w:rFonts w:hint="eastAsia" w:ascii="宋体" w:hAnsi="宋体" w:eastAsia="宋体" w:cs="宋体"/>
                <w:sz w:val="24"/>
                <w:szCs w:val="24"/>
              </w:rPr>
              <w:t>商务20分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整体实力  （5分）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hint="eastAsia" w:ascii="宋体" w:hAnsi="宋体" w:eastAsia="宋体" w:cs="宋体"/>
                <w:sz w:val="24"/>
                <w:szCs w:val="24"/>
              </w:rPr>
            </w:pPr>
            <w:r>
              <w:rPr>
                <w:rFonts w:hint="eastAsia" w:ascii="宋体" w:hAnsi="宋体" w:eastAsia="宋体" w:cs="宋体"/>
                <w:sz w:val="24"/>
                <w:szCs w:val="24"/>
              </w:rPr>
              <w:t>根据投标人生产或经营本项目的能力与资格，即综合考虑其资质、实力、质量控制、管理能力、技术研发能力和水平进行评分：优得5分，良得4分，一般得3分，其他得3分以下。</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5</w:t>
            </w:r>
          </w:p>
        </w:tc>
        <w:tc>
          <w:tcPr>
            <w:tcW w:w="23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p>
        </w:tc>
        <w:tc>
          <w:tcPr>
            <w:tcW w:w="692" w:type="dxa"/>
            <w:tcBorders>
              <w:top w:val="nil"/>
              <w:left w:val="nil"/>
              <w:bottom w:val="single" w:color="000000" w:sz="6" w:space="0"/>
              <w:right w:val="single" w:color="000000" w:sz="6" w:space="0"/>
            </w:tcBorders>
          </w:tcPr>
          <w:p>
            <w:pPr>
              <w:spacing w:before="100" w:beforeAutospacing="1" w:after="100" w:afterAutospacing="1"/>
              <w:jc w:val="cente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559" w:type="dxa"/>
            <w:vMerge w:val="continue"/>
            <w:tcBorders>
              <w:left w:val="single" w:color="000000" w:sz="6" w:space="0"/>
              <w:right w:val="single" w:color="000000" w:sz="6" w:space="0"/>
            </w:tcBorders>
            <w:vAlign w:val="center"/>
          </w:tcPr>
          <w:p>
            <w:pPr>
              <w:jc w:val="center"/>
              <w:rPr>
                <w:rFonts w:hint="eastAsia" w:ascii="宋体" w:hAnsi="宋体" w:eastAsia="宋体" w:cs="宋体"/>
                <w:sz w:val="24"/>
                <w:szCs w:val="24"/>
              </w:rPr>
            </w:pPr>
          </w:p>
        </w:tc>
        <w:tc>
          <w:tcPr>
            <w:tcW w:w="734" w:type="dxa"/>
            <w:vMerge w:val="continue"/>
            <w:tcBorders>
              <w:left w:val="nil"/>
              <w:right w:val="single" w:color="000000" w:sz="6" w:space="0"/>
            </w:tcBorders>
            <w:vAlign w:val="center"/>
          </w:tcPr>
          <w:p>
            <w:pPr>
              <w:jc w:val="center"/>
              <w:rPr>
                <w:rFonts w:hint="eastAsia" w:ascii="宋体" w:hAnsi="宋体" w:eastAsia="宋体" w:cs="宋体"/>
                <w:sz w:val="24"/>
                <w:szCs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业绩及信誉（5分）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hint="eastAsia" w:ascii="宋体" w:hAnsi="宋体" w:eastAsia="宋体" w:cs="宋体"/>
                <w:sz w:val="24"/>
                <w:szCs w:val="24"/>
              </w:rPr>
            </w:pPr>
            <w:r>
              <w:rPr>
                <w:rFonts w:hint="eastAsia" w:ascii="宋体" w:hAnsi="宋体" w:eastAsia="宋体" w:cs="宋体"/>
                <w:sz w:val="24"/>
                <w:szCs w:val="24"/>
              </w:rPr>
              <w:t>投标文件中提供投标人自</w:t>
            </w:r>
            <w:r>
              <w:rPr>
                <w:rFonts w:hint="eastAsia" w:ascii="宋体" w:hAnsi="宋体" w:eastAsia="宋体" w:cs="宋体"/>
                <w:b/>
                <w:sz w:val="24"/>
                <w:szCs w:val="24"/>
              </w:rPr>
              <w:t>2021年5月1日</w:t>
            </w:r>
            <w:r>
              <w:rPr>
                <w:rFonts w:hint="eastAsia" w:ascii="宋体" w:hAnsi="宋体" w:eastAsia="宋体" w:cs="宋体"/>
                <w:sz w:val="24"/>
                <w:szCs w:val="24"/>
              </w:rPr>
              <w:t>以来类似项目业绩，有一份得1分，最高得5分。（</w:t>
            </w:r>
            <w:r>
              <w:rPr>
                <w:rFonts w:hint="eastAsia" w:ascii="宋体" w:hAnsi="宋体" w:eastAsia="宋体" w:cs="宋体"/>
                <w:b/>
                <w:sz w:val="24"/>
                <w:szCs w:val="24"/>
              </w:rPr>
              <w:t>合同复印件需加盖投标单位公章，否则不得分。</w:t>
            </w:r>
            <w:r>
              <w:rPr>
                <w:rFonts w:hint="eastAsia" w:ascii="宋体" w:hAnsi="宋体" w:eastAsia="宋体" w:cs="宋体"/>
                <w:sz w:val="24"/>
                <w:szCs w:val="24"/>
              </w:rPr>
              <w:t>）</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5</w:t>
            </w:r>
          </w:p>
        </w:tc>
        <w:tc>
          <w:tcPr>
            <w:tcW w:w="23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p>
        </w:tc>
        <w:tc>
          <w:tcPr>
            <w:tcW w:w="692" w:type="dxa"/>
            <w:tcBorders>
              <w:top w:val="nil"/>
              <w:left w:val="nil"/>
              <w:bottom w:val="single" w:color="000000" w:sz="6" w:space="0"/>
              <w:right w:val="single" w:color="000000" w:sz="6" w:space="0"/>
            </w:tcBorders>
          </w:tcPr>
          <w:p>
            <w:pPr>
              <w:spacing w:before="100" w:beforeAutospacing="1" w:after="100" w:afterAutospacing="1"/>
              <w:jc w:val="cente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质保      （5分）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hint="eastAsia" w:ascii="宋体" w:hAnsi="宋体" w:eastAsia="宋体" w:cs="宋体"/>
                <w:sz w:val="24"/>
                <w:szCs w:val="24"/>
              </w:rPr>
            </w:pPr>
            <w:r>
              <w:rPr>
                <w:rFonts w:hint="eastAsia" w:ascii="宋体" w:hAnsi="宋体" w:eastAsia="宋体" w:cs="宋体"/>
                <w:sz w:val="24"/>
                <w:szCs w:val="24"/>
              </w:rPr>
              <w:t>满足招标文件质保要求得1分，每增加1年质保加1分，本项最高得5分。</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5</w:t>
            </w:r>
          </w:p>
        </w:tc>
        <w:tc>
          <w:tcPr>
            <w:tcW w:w="23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p>
        </w:tc>
        <w:tc>
          <w:tcPr>
            <w:tcW w:w="692" w:type="dxa"/>
            <w:tcBorders>
              <w:top w:val="nil"/>
              <w:left w:val="nil"/>
              <w:bottom w:val="single" w:color="000000" w:sz="6" w:space="0"/>
              <w:right w:val="single" w:color="000000" w:sz="6" w:space="0"/>
            </w:tcBorders>
          </w:tcPr>
          <w:p>
            <w:pPr>
              <w:spacing w:before="100" w:beforeAutospacing="1" w:after="100" w:afterAutospacing="1"/>
              <w:jc w:val="cente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59" w:type="dxa"/>
            <w:vMerge w:val="continue"/>
            <w:tcBorders>
              <w:left w:val="single" w:color="000000" w:sz="6" w:space="0"/>
              <w:bottom w:val="single" w:color="auto" w:sz="4" w:space="0"/>
              <w:right w:val="single" w:color="000000" w:sz="6" w:space="0"/>
            </w:tcBorders>
            <w:vAlign w:val="center"/>
          </w:tcPr>
          <w:p>
            <w:pPr>
              <w:rPr>
                <w:rFonts w:hint="eastAsia" w:ascii="宋体" w:hAnsi="宋体" w:eastAsia="宋体" w:cs="宋体"/>
                <w:sz w:val="24"/>
                <w:szCs w:val="24"/>
              </w:rPr>
            </w:pPr>
          </w:p>
        </w:tc>
        <w:tc>
          <w:tcPr>
            <w:tcW w:w="734" w:type="dxa"/>
            <w:vMerge w:val="continue"/>
            <w:tcBorders>
              <w:left w:val="nil"/>
              <w:bottom w:val="single" w:color="auto" w:sz="4" w:space="0"/>
              <w:right w:val="single" w:color="000000" w:sz="6" w:space="0"/>
            </w:tcBorders>
            <w:vAlign w:val="center"/>
          </w:tcPr>
          <w:p>
            <w:pPr>
              <w:rPr>
                <w:rFonts w:hint="eastAsia" w:ascii="宋体" w:hAnsi="宋体" w:eastAsia="宋体" w:cs="宋体"/>
                <w:sz w:val="24"/>
                <w:szCs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售后服务  （5分）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hint="eastAsia" w:ascii="宋体" w:hAnsi="宋体" w:eastAsia="宋体" w:cs="宋体"/>
                <w:sz w:val="24"/>
                <w:szCs w:val="24"/>
              </w:rPr>
            </w:pPr>
            <w:r>
              <w:rPr>
                <w:rFonts w:hint="eastAsia" w:ascii="宋体" w:hAnsi="宋体" w:eastAsia="宋体" w:cs="宋体"/>
                <w:sz w:val="24"/>
                <w:szCs w:val="24"/>
              </w:rPr>
              <w:t>根据投标人提供售后服务方案（含培训）、服务体系（含培训）、服务和范围以及故障解决方案、响应时间、应急处理方案、专业技术人员保障等综合评分。优得5分，良得4分，一般得3分，其他得3分以下。</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5</w:t>
            </w:r>
          </w:p>
        </w:tc>
        <w:tc>
          <w:tcPr>
            <w:tcW w:w="23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p>
        </w:tc>
        <w:tc>
          <w:tcPr>
            <w:tcW w:w="692" w:type="dxa"/>
            <w:tcBorders>
              <w:top w:val="nil"/>
              <w:left w:val="nil"/>
              <w:bottom w:val="single" w:color="000000" w:sz="6" w:space="0"/>
              <w:right w:val="single" w:color="000000" w:sz="6" w:space="0"/>
            </w:tcBorders>
          </w:tcPr>
          <w:p>
            <w:pPr>
              <w:spacing w:before="100" w:beforeAutospacing="1" w:after="100" w:afterAutospacing="1"/>
              <w:jc w:val="cente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5" w:hRule="atLeast"/>
          <w:jc w:val="center"/>
        </w:trPr>
        <w:tc>
          <w:tcPr>
            <w:tcW w:w="559" w:type="dxa"/>
            <w:tcBorders>
              <w:top w:val="nil"/>
              <w:left w:val="single" w:color="000000" w:sz="6" w:space="0"/>
              <w:bottom w:val="single" w:color="auto" w:sz="4" w:space="0"/>
              <w:right w:val="single" w:color="000000"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734" w:type="dxa"/>
            <w:tcBorders>
              <w:top w:val="nil"/>
              <w:left w:val="nil"/>
              <w:bottom w:val="single" w:color="auto" w:sz="4" w:space="0"/>
              <w:right w:val="single" w:color="000000" w:sz="6"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功能演示</w:t>
            </w:r>
            <w:r>
              <w:rPr>
                <w:rFonts w:hint="eastAsia" w:ascii="宋体" w:hAnsi="宋体" w:cs="宋体"/>
                <w:sz w:val="24"/>
                <w:szCs w:val="24"/>
                <w:lang w:val="en-US" w:eastAsia="zh-CN"/>
              </w:rPr>
              <w:t xml:space="preserve">   </w:t>
            </w:r>
            <w:r>
              <w:rPr>
                <w:rFonts w:hint="eastAsia" w:ascii="宋体" w:hAnsi="宋体" w:eastAsia="宋体" w:cs="宋体"/>
                <w:sz w:val="24"/>
                <w:szCs w:val="24"/>
                <w:lang w:eastAsia="ja-JP"/>
              </w:rPr>
              <w:t>20</w:t>
            </w:r>
            <w:r>
              <w:rPr>
                <w:rFonts w:hint="eastAsia" w:ascii="宋体" w:hAnsi="宋体" w:eastAsia="宋体" w:cs="宋体"/>
                <w:sz w:val="24"/>
                <w:szCs w:val="24"/>
              </w:rPr>
              <w:t>分</w:t>
            </w:r>
          </w:p>
        </w:tc>
        <w:tc>
          <w:tcPr>
            <w:tcW w:w="1418" w:type="dxa"/>
            <w:tcBorders>
              <w:top w:val="nil"/>
              <w:left w:val="nil"/>
              <w:bottom w:val="single" w:color="auto" w:sz="4" w:space="0"/>
              <w:right w:val="single" w:color="000000" w:sz="6"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功能演示 （</w:t>
            </w:r>
            <w:r>
              <w:rPr>
                <w:rFonts w:hint="eastAsia" w:ascii="宋体" w:hAnsi="宋体" w:eastAsia="宋体" w:cs="宋体"/>
                <w:sz w:val="24"/>
                <w:szCs w:val="24"/>
                <w:lang w:eastAsia="ja-JP"/>
              </w:rPr>
              <w:t>20</w:t>
            </w:r>
            <w:r>
              <w:rPr>
                <w:rFonts w:hint="eastAsia" w:ascii="宋体" w:hAnsi="宋体" w:eastAsia="宋体" w:cs="宋体"/>
                <w:sz w:val="24"/>
                <w:szCs w:val="24"/>
              </w:rPr>
              <w:t>分）</w:t>
            </w:r>
          </w:p>
        </w:tc>
        <w:tc>
          <w:tcPr>
            <w:tcW w:w="5511" w:type="dxa"/>
            <w:tcBorders>
              <w:top w:val="nil"/>
              <w:left w:val="nil"/>
              <w:bottom w:val="single" w:color="auto" w:sz="4" w:space="0"/>
              <w:right w:val="single" w:color="000000" w:sz="6" w:space="0"/>
            </w:tcBorders>
            <w:tcMar>
              <w:top w:w="0" w:type="dxa"/>
              <w:left w:w="105" w:type="dxa"/>
              <w:bottom w:w="0" w:type="dxa"/>
              <w:right w:w="105" w:type="dxa"/>
            </w:tcMar>
            <w:vAlign w:val="center"/>
          </w:tcPr>
          <w:p>
            <w:pPr>
              <w:rPr>
                <w:rFonts w:hint="eastAsia" w:ascii="宋体" w:hAnsi="宋体" w:eastAsia="宋体" w:cs="宋体"/>
                <w:color w:val="000000"/>
                <w:sz w:val="24"/>
                <w:szCs w:val="24"/>
              </w:rPr>
            </w:pPr>
            <w:r>
              <w:rPr>
                <w:rFonts w:hint="eastAsia" w:ascii="宋体" w:hAnsi="宋体" w:eastAsia="宋体" w:cs="宋体"/>
                <w:sz w:val="24"/>
                <w:szCs w:val="24"/>
              </w:rPr>
              <w:t>根据投标人对系统功能的演示情况综合评分：优得17-20分，良得13-16分，一般得12分，其他得12分以下。</w:t>
            </w:r>
          </w:p>
          <w:p>
            <w:pPr>
              <w:rPr>
                <w:rFonts w:hint="eastAsia" w:ascii="宋体" w:hAnsi="宋体" w:eastAsia="宋体" w:cs="宋体"/>
                <w:b/>
                <w:sz w:val="24"/>
                <w:szCs w:val="24"/>
              </w:rPr>
            </w:pPr>
            <w:r>
              <w:rPr>
                <w:rFonts w:hint="eastAsia" w:ascii="宋体" w:hAnsi="宋体" w:eastAsia="宋体" w:cs="宋体"/>
                <w:b/>
                <w:sz w:val="24"/>
                <w:szCs w:val="24"/>
              </w:rPr>
              <w:t>注：1.投标人将演示全过程进行录屏和文字说明一并制作成MP4格式的视频文件，保存至U盘（一式两份）。演示内容包括但不限于磋商文件中要求演示的部分。视频须清晰可辨别，声音大小适中。</w:t>
            </w:r>
          </w:p>
          <w:p>
            <w:pPr>
              <w:rPr>
                <w:rFonts w:hint="eastAsia" w:ascii="宋体" w:hAnsi="宋体" w:eastAsia="宋体" w:cs="宋体"/>
                <w:b/>
                <w:sz w:val="24"/>
                <w:szCs w:val="24"/>
              </w:rPr>
            </w:pPr>
          </w:p>
          <w:p>
            <w:pPr>
              <w:rPr>
                <w:rFonts w:hint="eastAsia" w:ascii="宋体" w:hAnsi="宋体" w:eastAsia="宋体" w:cs="宋体"/>
                <w:sz w:val="24"/>
                <w:szCs w:val="24"/>
              </w:rPr>
            </w:pPr>
            <w:r>
              <w:rPr>
                <w:rFonts w:hint="eastAsia" w:ascii="宋体" w:hAnsi="宋体" w:eastAsia="宋体" w:cs="宋体"/>
                <w:b/>
                <w:sz w:val="24"/>
                <w:szCs w:val="24"/>
              </w:rPr>
              <w:t>2.须使用线上真实系统进行演示，由投标人提交包含上述内容的演示U盘（时间不超过15分钟），演示的内容可以附带必要的文字说明。</w:t>
            </w:r>
          </w:p>
        </w:tc>
        <w:tc>
          <w:tcPr>
            <w:tcW w:w="708" w:type="dxa"/>
            <w:tcBorders>
              <w:top w:val="nil"/>
              <w:left w:val="nil"/>
              <w:bottom w:val="single" w:color="auto" w:sz="4" w:space="0"/>
              <w:right w:val="nil"/>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20</w:t>
            </w:r>
          </w:p>
        </w:tc>
        <w:tc>
          <w:tcPr>
            <w:tcW w:w="230" w:type="dxa"/>
            <w:gridSpan w:val="2"/>
            <w:tcBorders>
              <w:top w:val="nil"/>
              <w:left w:val="nil"/>
              <w:bottom w:val="single" w:color="auto" w:sz="4"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hint="eastAsia" w:ascii="宋体" w:hAnsi="宋体" w:eastAsia="宋体" w:cs="宋体"/>
                <w:sz w:val="24"/>
                <w:szCs w:val="24"/>
              </w:rPr>
            </w:pPr>
          </w:p>
        </w:tc>
        <w:tc>
          <w:tcPr>
            <w:tcW w:w="692" w:type="dxa"/>
            <w:tcBorders>
              <w:top w:val="nil"/>
              <w:left w:val="nil"/>
              <w:bottom w:val="single" w:color="auto" w:sz="4" w:space="0"/>
              <w:right w:val="single" w:color="000000" w:sz="6" w:space="0"/>
            </w:tcBorders>
          </w:tcPr>
          <w:p>
            <w:pPr>
              <w:spacing w:before="100" w:beforeAutospacing="1" w:after="100" w:afterAutospacing="1"/>
              <w:jc w:val="cente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559" w:type="dxa"/>
            <w:tcBorders>
              <w:top w:val="nil"/>
              <w:left w:val="single" w:color="000000" w:sz="6" w:space="0"/>
              <w:bottom w:val="single" w:color="auto" w:sz="4" w:space="0"/>
              <w:right w:val="single" w:color="000000"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734" w:type="dxa"/>
            <w:tcBorders>
              <w:top w:val="nil"/>
              <w:left w:val="nil"/>
              <w:bottom w:val="single" w:color="auto" w:sz="4" w:space="0"/>
              <w:right w:val="single" w:color="000000" w:sz="6" w:space="0"/>
            </w:tcBorders>
            <w:vAlign w:val="center"/>
          </w:tcPr>
          <w:p>
            <w:pPr>
              <w:rPr>
                <w:rFonts w:hint="eastAsia" w:ascii="宋体" w:hAnsi="宋体" w:eastAsia="宋体" w:cs="宋体"/>
                <w:sz w:val="24"/>
                <w:szCs w:val="24"/>
              </w:rPr>
            </w:pPr>
            <w:r>
              <w:rPr>
                <w:rFonts w:hint="eastAsia" w:ascii="宋体" w:hAnsi="宋体" w:eastAsia="宋体" w:cs="宋体"/>
                <w:sz w:val="24"/>
                <w:szCs w:val="24"/>
              </w:rPr>
              <w:t>价格30分</w:t>
            </w:r>
          </w:p>
        </w:tc>
        <w:tc>
          <w:tcPr>
            <w:tcW w:w="1418" w:type="dxa"/>
            <w:tcBorders>
              <w:top w:val="single" w:color="auto" w:sz="4" w:space="0"/>
              <w:left w:val="single" w:color="000000" w:sz="6" w:space="0"/>
              <w:bottom w:val="single" w:color="auto" w:sz="4" w:space="0"/>
              <w:right w:val="single" w:color="auto" w:sz="4" w:space="0"/>
            </w:tcBorders>
            <w:tcMar>
              <w:top w:w="0" w:type="dxa"/>
              <w:left w:w="105" w:type="dxa"/>
              <w:bottom w:w="0" w:type="dxa"/>
              <w:right w:w="10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报价     （</w:t>
            </w:r>
            <w:r>
              <w:rPr>
                <w:rFonts w:hint="eastAsia" w:ascii="宋体" w:hAnsi="宋体" w:eastAsia="宋体" w:cs="宋体"/>
                <w:sz w:val="24"/>
                <w:szCs w:val="24"/>
                <w:lang w:eastAsia="ja-JP"/>
              </w:rPr>
              <w:t>30</w:t>
            </w:r>
            <w:r>
              <w:rPr>
                <w:rFonts w:hint="eastAsia" w:ascii="宋体" w:hAnsi="宋体" w:eastAsia="宋体" w:cs="宋体"/>
                <w:sz w:val="24"/>
                <w:szCs w:val="24"/>
              </w:rPr>
              <w:t>分）</w:t>
            </w:r>
          </w:p>
        </w:tc>
        <w:tc>
          <w:tcPr>
            <w:tcW w:w="551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hint="eastAsia" w:ascii="宋体" w:hAnsi="宋体" w:eastAsia="宋体" w:cs="宋体"/>
                <w:sz w:val="24"/>
                <w:szCs w:val="24"/>
              </w:rPr>
            </w:pPr>
            <w:r>
              <w:rPr>
                <w:rFonts w:hint="eastAsia" w:ascii="宋体" w:hAnsi="宋体" w:eastAsia="宋体" w:cs="宋体"/>
                <w:sz w:val="24"/>
                <w:szCs w:val="24"/>
              </w:rPr>
              <w:t>满足采购文件要求且投标价格最低的投标报价为评标基准价，其价格分为满分。其他投标人的价格分统一按照下列公式计算：投标报价得分=(评标基准价／投标报价)×30</w:t>
            </w:r>
          </w:p>
        </w:tc>
        <w:tc>
          <w:tcPr>
            <w:tcW w:w="92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30</w:t>
            </w:r>
          </w:p>
        </w:tc>
        <w:tc>
          <w:tcPr>
            <w:tcW w:w="708" w:type="dxa"/>
            <w:gridSpan w:val="2"/>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eastAsia" w:ascii="宋体" w:hAnsi="宋体" w:eastAsia="宋体" w:cs="宋体"/>
                <w:sz w:val="24"/>
                <w:szCs w:val="24"/>
              </w:rPr>
            </w:pPr>
          </w:p>
        </w:tc>
      </w:tr>
    </w:tbl>
    <w:p>
      <w:pPr>
        <w:rPr>
          <w:rFonts w:ascii="宋体" w:hAnsi="宋体"/>
          <w:b/>
          <w:sz w:val="24"/>
        </w:rPr>
      </w:pPr>
      <w:r>
        <w:rPr>
          <w:rFonts w:hint="eastAsia" w:ascii="宋体" w:hAnsi="宋体"/>
          <w:b/>
          <w:sz w:val="24"/>
        </w:rPr>
        <w:t>注：投标人需标明相关材料在投标文件中的对应页码。</w:t>
      </w:r>
    </w:p>
    <w:p>
      <w:pPr>
        <w:widowControl/>
        <w:jc w:val="left"/>
        <w:rPr>
          <w:rFonts w:cs="华文楷体" w:asciiTheme="minorEastAsia" w:hAnsiTheme="minorEastAsia" w:eastAsiaTheme="minorEastAsia"/>
          <w:b/>
          <w:bCs/>
          <w:color w:val="000000" w:themeColor="text1"/>
          <w:kern w:val="0"/>
          <w:sz w:val="24"/>
          <w:szCs w:val="20"/>
        </w:rPr>
      </w:pPr>
      <w:r>
        <w:rPr>
          <w:rFonts w:cs="华文楷体" w:asciiTheme="minorEastAsia" w:hAnsiTheme="minorEastAsia" w:eastAsiaTheme="minorEastAsia"/>
          <w:b/>
          <w:color w:val="000000" w:themeColor="text1"/>
          <w:sz w:val="24"/>
        </w:rPr>
        <w:br w:type="page"/>
      </w: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本项目评分细则：</w:t>
      </w:r>
    </w:p>
    <w:p>
      <w:pPr>
        <w:pStyle w:val="27"/>
        <w:rPr>
          <w:rFonts w:cs="华文楷体" w:asciiTheme="minorEastAsia" w:hAnsiTheme="minorEastAsia" w:eastAsiaTheme="minorEastAsia"/>
          <w:color w:val="000000" w:themeColor="text1"/>
          <w:sz w:val="24"/>
        </w:rPr>
      </w:pPr>
    </w:p>
    <w:tbl>
      <w:tblPr>
        <w:tblStyle w:val="15"/>
        <w:tblW w:w="923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9"/>
        <w:gridCol w:w="734"/>
        <w:gridCol w:w="1418"/>
        <w:gridCol w:w="5511"/>
        <w:gridCol w:w="708"/>
        <w:gridCol w:w="3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55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b/>
                <w:bCs/>
                <w:sz w:val="24"/>
              </w:rPr>
              <w:t>序号</w:t>
            </w:r>
          </w:p>
        </w:tc>
        <w:tc>
          <w:tcPr>
            <w:tcW w:w="73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b/>
                <w:bCs/>
                <w:sz w:val="24"/>
              </w:rPr>
              <w:t>评审因素</w:t>
            </w:r>
          </w:p>
        </w:tc>
        <w:tc>
          <w:tcPr>
            <w:tcW w:w="14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b/>
                <w:bCs/>
                <w:sz w:val="24"/>
              </w:rPr>
              <w:t>评审项目</w:t>
            </w:r>
          </w:p>
        </w:tc>
        <w:tc>
          <w:tcPr>
            <w:tcW w:w="551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b/>
                <w:bCs/>
                <w:sz w:val="24"/>
              </w:rPr>
              <w:t>评审细则</w:t>
            </w:r>
          </w:p>
        </w:tc>
        <w:tc>
          <w:tcPr>
            <w:tcW w:w="708" w:type="dxa"/>
            <w:tcBorders>
              <w:top w:val="single" w:color="000000" w:sz="6" w:space="0"/>
              <w:left w:val="nil"/>
              <w:bottom w:val="single" w:color="000000" w:sz="6" w:space="0"/>
              <w:right w:val="nil"/>
            </w:tcBorders>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b/>
                <w:bCs/>
                <w:sz w:val="24"/>
              </w:rPr>
              <w:t xml:space="preserve"> 分值</w:t>
            </w:r>
          </w:p>
        </w:tc>
        <w:tc>
          <w:tcPr>
            <w:tcW w:w="30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rPr>
                <w:rFonts w:cs="宋体" w:asciiTheme="majorEastAsia" w:hAnsiTheme="majorEastAsia" w:eastAsiaTheme="major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55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jc w:val="center"/>
              <w:rPr>
                <w:rFonts w:cs="宋体" w:asciiTheme="majorEastAsia" w:hAnsiTheme="majorEastAsia" w:eastAsiaTheme="majorEastAsia"/>
                <w:sz w:val="24"/>
              </w:rPr>
            </w:pPr>
            <w:r>
              <w:rPr>
                <w:rFonts w:hint="eastAsia" w:cs="宋体" w:asciiTheme="majorEastAsia" w:hAnsiTheme="majorEastAsia" w:eastAsiaTheme="majorEastAsia"/>
                <w:sz w:val="24"/>
              </w:rPr>
              <w:t>1</w:t>
            </w:r>
          </w:p>
        </w:tc>
        <w:tc>
          <w:tcPr>
            <w:tcW w:w="734"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cs="楷体" w:asciiTheme="majorEastAsia" w:hAnsiTheme="majorEastAsia" w:eastAsiaTheme="majorEastAsia"/>
                <w:sz w:val="24"/>
              </w:rPr>
            </w:pPr>
            <w:r>
              <w:rPr>
                <w:rFonts w:hint="eastAsia" w:cs="楷体" w:asciiTheme="majorEastAsia" w:hAnsiTheme="majorEastAsia" w:eastAsiaTheme="majorEastAsia"/>
                <w:sz w:val="24"/>
              </w:rPr>
              <w:t>技术</w:t>
            </w:r>
          </w:p>
          <w:p>
            <w:pPr>
              <w:jc w:val="center"/>
              <w:rPr>
                <w:rFonts w:cs="楷体" w:asciiTheme="majorEastAsia" w:hAnsiTheme="majorEastAsia" w:eastAsiaTheme="majorEastAsia"/>
                <w:sz w:val="24"/>
              </w:rPr>
            </w:pPr>
            <w:r>
              <w:rPr>
                <w:rFonts w:cs="楷体" w:asciiTheme="majorEastAsia" w:hAnsiTheme="majorEastAsia" w:eastAsiaTheme="majorEastAsia"/>
                <w:sz w:val="24"/>
              </w:rPr>
              <w:t>3</w:t>
            </w:r>
            <w:r>
              <w:rPr>
                <w:rFonts w:hint="eastAsia" w:cs="楷体" w:asciiTheme="majorEastAsia" w:hAnsiTheme="majorEastAsia" w:eastAsiaTheme="majorEastAsia"/>
                <w:sz w:val="24"/>
              </w:rPr>
              <w:t>0分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cs="宋体" w:asciiTheme="majorEastAsia" w:hAnsiTheme="majorEastAsia" w:eastAsiaTheme="majorEastAsia"/>
                <w:sz w:val="24"/>
              </w:rPr>
            </w:pPr>
            <w:r>
              <w:rPr>
                <w:rFonts w:hint="eastAsia" w:cs="宋体" w:asciiTheme="majorEastAsia" w:hAnsiTheme="majorEastAsia" w:eastAsiaTheme="majorEastAsia"/>
                <w:color w:val="000000"/>
                <w:sz w:val="24"/>
              </w:rPr>
              <w:t>技术参数及功能响应 （</w:t>
            </w:r>
            <w:r>
              <w:rPr>
                <w:rFonts w:cs="宋体" w:asciiTheme="majorEastAsia" w:hAnsiTheme="majorEastAsia" w:eastAsiaTheme="majorEastAsia"/>
                <w:color w:val="000000"/>
                <w:sz w:val="24"/>
              </w:rPr>
              <w:t>3</w:t>
            </w:r>
            <w:r>
              <w:rPr>
                <w:rFonts w:hint="eastAsia" w:cs="宋体" w:asciiTheme="majorEastAsia" w:hAnsiTheme="majorEastAsia" w:eastAsiaTheme="majorEastAsia"/>
                <w:color w:val="000000"/>
                <w:sz w:val="24"/>
              </w:rPr>
              <w:t>0分）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cs="宋体" w:asciiTheme="majorEastAsia" w:hAnsiTheme="majorEastAsia" w:eastAsiaTheme="majorEastAsia"/>
                <w:sz w:val="24"/>
              </w:rPr>
            </w:pPr>
            <w:r>
              <w:rPr>
                <w:rFonts w:hint="eastAsia" w:cs="楷体" w:asciiTheme="majorEastAsia" w:hAnsiTheme="majorEastAsia" w:eastAsiaTheme="majorEastAsia"/>
                <w:color w:val="000000"/>
                <w:sz w:val="24"/>
              </w:rPr>
              <w:t>投标产品技术参数全部符合磋商文件技术要求的得24分。每负偏离一项扣2分，扣完为止；有一项评委组认可的正偏离加1分。本项最高得</w:t>
            </w:r>
            <w:r>
              <w:rPr>
                <w:rFonts w:cs="楷体" w:asciiTheme="majorEastAsia" w:hAnsiTheme="majorEastAsia" w:eastAsiaTheme="majorEastAsia"/>
                <w:color w:val="000000"/>
                <w:sz w:val="24"/>
              </w:rPr>
              <w:t>3</w:t>
            </w:r>
            <w:r>
              <w:rPr>
                <w:rFonts w:hint="eastAsia" w:cs="楷体" w:asciiTheme="majorEastAsia" w:hAnsiTheme="majorEastAsia" w:eastAsiaTheme="majorEastAsia"/>
                <w:color w:val="000000"/>
                <w:sz w:val="24"/>
              </w:rPr>
              <w:t>0分。</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sz w:val="24"/>
              </w:rPr>
              <w:t>30</w:t>
            </w:r>
          </w:p>
        </w:tc>
        <w:tc>
          <w:tcPr>
            <w:tcW w:w="301" w:type="dxa"/>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rPr>
                <w:rFonts w:cs="宋体" w:asciiTheme="majorEastAsia" w:hAnsiTheme="majorEastAsia" w:eastAsiaTheme="major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3" w:hRule="atLeast"/>
          <w:jc w:val="center"/>
        </w:trPr>
        <w:tc>
          <w:tcPr>
            <w:tcW w:w="559" w:type="dxa"/>
            <w:vMerge w:val="restart"/>
            <w:tcBorders>
              <w:top w:val="nil"/>
              <w:left w:val="single" w:color="000000" w:sz="6" w:space="0"/>
              <w:right w:val="single" w:color="000000" w:sz="6" w:space="0"/>
            </w:tcBorders>
            <w:tcMar>
              <w:top w:w="0" w:type="dxa"/>
              <w:left w:w="105" w:type="dxa"/>
              <w:bottom w:w="0" w:type="dxa"/>
              <w:right w:w="105" w:type="dxa"/>
            </w:tcMar>
            <w:vAlign w:val="center"/>
          </w:tcPr>
          <w:p>
            <w:pPr>
              <w:jc w:val="center"/>
              <w:rPr>
                <w:rFonts w:cs="宋体" w:asciiTheme="majorEastAsia" w:hAnsiTheme="majorEastAsia" w:eastAsiaTheme="majorEastAsia"/>
                <w:sz w:val="24"/>
              </w:rPr>
            </w:pPr>
            <w:r>
              <w:rPr>
                <w:rFonts w:hint="eastAsia" w:cs="宋体" w:asciiTheme="majorEastAsia" w:hAnsiTheme="majorEastAsia" w:eastAsiaTheme="majorEastAsia"/>
                <w:sz w:val="24"/>
              </w:rPr>
              <w:t>2</w:t>
            </w:r>
          </w:p>
        </w:tc>
        <w:tc>
          <w:tcPr>
            <w:tcW w:w="734" w:type="dxa"/>
            <w:vMerge w:val="restart"/>
            <w:tcBorders>
              <w:top w:val="nil"/>
              <w:left w:val="nil"/>
              <w:right w:val="single" w:color="000000" w:sz="6" w:space="0"/>
            </w:tcBorders>
            <w:tcMar>
              <w:top w:w="0" w:type="dxa"/>
              <w:left w:w="105" w:type="dxa"/>
              <w:bottom w:w="0" w:type="dxa"/>
              <w:right w:w="105" w:type="dxa"/>
            </w:tcMar>
            <w:vAlign w:val="center"/>
          </w:tcPr>
          <w:p>
            <w:pPr>
              <w:rPr>
                <w:rFonts w:cs="宋体" w:asciiTheme="majorEastAsia" w:hAnsiTheme="majorEastAsia" w:eastAsiaTheme="majorEastAsia"/>
                <w:sz w:val="24"/>
              </w:rPr>
            </w:pPr>
            <w:r>
              <w:rPr>
                <w:rFonts w:hint="eastAsia" w:cs="楷体" w:asciiTheme="majorEastAsia" w:hAnsiTheme="majorEastAsia" w:eastAsiaTheme="majorEastAsia"/>
                <w:sz w:val="24"/>
              </w:rPr>
              <w:t>商务2</w:t>
            </w:r>
            <w:r>
              <w:rPr>
                <w:rFonts w:cs="楷体" w:asciiTheme="majorEastAsia" w:hAnsiTheme="majorEastAsia" w:eastAsiaTheme="majorEastAsia"/>
                <w:sz w:val="24"/>
              </w:rPr>
              <w:t>0</w:t>
            </w:r>
            <w:r>
              <w:rPr>
                <w:rFonts w:hint="eastAsia" w:cs="楷体" w:asciiTheme="majorEastAsia" w:hAnsiTheme="majorEastAsia" w:eastAsiaTheme="majorEastAsia"/>
                <w:sz w:val="24"/>
              </w:rPr>
              <w:t>分</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cs="宋体" w:asciiTheme="majorEastAsia" w:hAnsiTheme="majorEastAsia" w:eastAsiaTheme="majorEastAsia"/>
                <w:sz w:val="24"/>
              </w:rPr>
            </w:pPr>
            <w:r>
              <w:rPr>
                <w:rFonts w:hint="eastAsia" w:cs="楷体" w:asciiTheme="majorEastAsia" w:hAnsiTheme="majorEastAsia" w:eastAsiaTheme="majorEastAsia"/>
                <w:sz w:val="24"/>
              </w:rPr>
              <w:t>整体实力  （5分）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cs="宋体" w:asciiTheme="majorEastAsia" w:hAnsiTheme="majorEastAsia" w:eastAsiaTheme="majorEastAsia"/>
                <w:sz w:val="24"/>
              </w:rPr>
            </w:pPr>
            <w:r>
              <w:rPr>
                <w:rFonts w:hint="eastAsia" w:cs="楷体" w:asciiTheme="majorEastAsia" w:hAnsiTheme="majorEastAsia" w:eastAsiaTheme="majorEastAsia"/>
                <w:sz w:val="24"/>
              </w:rPr>
              <w:t>根据投标人生产或经营本项目的能力与资格，即综合考虑其资质、实力、质量控制、管理能力、技术研发能力和水平进行评分：优得5分，良得4分，一般得3分，其他得3分以下。</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cs="宋体" w:asciiTheme="majorEastAsia" w:hAnsiTheme="majorEastAsia" w:eastAsiaTheme="majorEastAsia"/>
                <w:sz w:val="24"/>
              </w:rPr>
            </w:pPr>
            <w:r>
              <w:rPr>
                <w:rFonts w:cs="宋体" w:asciiTheme="majorEastAsia" w:hAnsiTheme="majorEastAsia" w:eastAsiaTheme="majorEastAsia"/>
                <w:sz w:val="24"/>
              </w:rPr>
              <w:t>5</w:t>
            </w:r>
          </w:p>
        </w:tc>
        <w:tc>
          <w:tcPr>
            <w:tcW w:w="301" w:type="dxa"/>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559" w:type="dxa"/>
            <w:vMerge w:val="continue"/>
            <w:tcBorders>
              <w:left w:val="single" w:color="000000" w:sz="6" w:space="0"/>
              <w:right w:val="single" w:color="000000" w:sz="6" w:space="0"/>
            </w:tcBorders>
            <w:vAlign w:val="center"/>
          </w:tcPr>
          <w:p>
            <w:pPr>
              <w:jc w:val="center"/>
              <w:rPr>
                <w:rFonts w:cs="宋体" w:asciiTheme="majorEastAsia" w:hAnsiTheme="majorEastAsia" w:eastAsiaTheme="majorEastAsia"/>
                <w:sz w:val="24"/>
              </w:rPr>
            </w:pPr>
          </w:p>
        </w:tc>
        <w:tc>
          <w:tcPr>
            <w:tcW w:w="734" w:type="dxa"/>
            <w:vMerge w:val="continue"/>
            <w:tcBorders>
              <w:left w:val="nil"/>
              <w:right w:val="single" w:color="000000" w:sz="6" w:space="0"/>
            </w:tcBorders>
            <w:vAlign w:val="center"/>
          </w:tcPr>
          <w:p>
            <w:pPr>
              <w:jc w:val="center"/>
              <w:rPr>
                <w:rFonts w:cs="宋体" w:asciiTheme="majorEastAsia" w:hAnsiTheme="majorEastAsia" w:eastAsiaTheme="majorEastAsia"/>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cs="宋体" w:asciiTheme="majorEastAsia" w:hAnsiTheme="majorEastAsia" w:eastAsiaTheme="majorEastAsia"/>
                <w:sz w:val="24"/>
              </w:rPr>
            </w:pPr>
            <w:r>
              <w:rPr>
                <w:rFonts w:hint="eastAsia" w:cs="楷体" w:asciiTheme="majorEastAsia" w:hAnsiTheme="majorEastAsia" w:eastAsiaTheme="majorEastAsia"/>
                <w:sz w:val="24"/>
              </w:rPr>
              <w:t>业绩及信誉（5分）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cs="宋体" w:asciiTheme="majorEastAsia" w:hAnsiTheme="majorEastAsia" w:eastAsiaTheme="majorEastAsia"/>
                <w:sz w:val="24"/>
              </w:rPr>
            </w:pPr>
            <w:r>
              <w:rPr>
                <w:rFonts w:hint="eastAsia" w:cs="宋体" w:asciiTheme="majorEastAsia" w:hAnsiTheme="majorEastAsia" w:eastAsiaTheme="majorEastAsia"/>
                <w:sz w:val="24"/>
              </w:rPr>
              <w:t>投标文件中提供投标人自</w:t>
            </w:r>
            <w:r>
              <w:rPr>
                <w:rFonts w:hint="eastAsia" w:cs="宋体" w:asciiTheme="majorEastAsia" w:hAnsiTheme="majorEastAsia" w:eastAsiaTheme="majorEastAsia"/>
                <w:b/>
                <w:sz w:val="24"/>
              </w:rPr>
              <w:t>2021年</w:t>
            </w:r>
            <w:r>
              <w:rPr>
                <w:rFonts w:cs="宋体" w:asciiTheme="majorEastAsia" w:hAnsiTheme="majorEastAsia" w:eastAsiaTheme="majorEastAsia"/>
                <w:b/>
                <w:sz w:val="24"/>
              </w:rPr>
              <w:t>5</w:t>
            </w:r>
            <w:r>
              <w:rPr>
                <w:rFonts w:hint="eastAsia" w:cs="宋体" w:asciiTheme="majorEastAsia" w:hAnsiTheme="majorEastAsia" w:eastAsiaTheme="majorEastAsia"/>
                <w:b/>
                <w:sz w:val="24"/>
              </w:rPr>
              <w:t>月1日</w:t>
            </w:r>
            <w:r>
              <w:rPr>
                <w:rFonts w:hint="eastAsia" w:cs="宋体" w:asciiTheme="majorEastAsia" w:hAnsiTheme="majorEastAsia" w:eastAsiaTheme="majorEastAsia"/>
                <w:sz w:val="24"/>
              </w:rPr>
              <w:t>以来类似项目业绩，有一份得1分，最高得5分。（</w:t>
            </w:r>
            <w:r>
              <w:rPr>
                <w:rFonts w:hint="eastAsia" w:cs="宋体" w:asciiTheme="majorEastAsia" w:hAnsiTheme="majorEastAsia" w:eastAsiaTheme="majorEastAsia"/>
                <w:b/>
                <w:sz w:val="24"/>
              </w:rPr>
              <w:t>合同复印件需加盖投标单位公章，否则不得分。</w:t>
            </w:r>
            <w:r>
              <w:rPr>
                <w:rFonts w:hint="eastAsia" w:cs="宋体" w:asciiTheme="majorEastAsia" w:hAnsiTheme="majorEastAsia" w:eastAsiaTheme="majorEastAsia"/>
                <w:sz w:val="24"/>
              </w:rPr>
              <w:t>）</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cs="宋体" w:asciiTheme="majorEastAsia" w:hAnsiTheme="majorEastAsia" w:eastAsiaTheme="majorEastAsia"/>
                <w:sz w:val="24"/>
              </w:rPr>
            </w:pPr>
            <w:r>
              <w:rPr>
                <w:rFonts w:cs="宋体" w:asciiTheme="majorEastAsia" w:hAnsiTheme="majorEastAsia" w:eastAsiaTheme="majorEastAsia"/>
                <w:sz w:val="24"/>
              </w:rPr>
              <w:t>5</w:t>
            </w:r>
          </w:p>
        </w:tc>
        <w:tc>
          <w:tcPr>
            <w:tcW w:w="301" w:type="dxa"/>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559" w:type="dxa"/>
            <w:vMerge w:val="continue"/>
            <w:tcBorders>
              <w:left w:val="single" w:color="000000" w:sz="6" w:space="0"/>
              <w:right w:val="single" w:color="000000" w:sz="6" w:space="0"/>
            </w:tcBorders>
            <w:tcMar>
              <w:top w:w="0" w:type="dxa"/>
              <w:left w:w="105" w:type="dxa"/>
              <w:bottom w:w="0" w:type="dxa"/>
              <w:right w:w="105" w:type="dxa"/>
            </w:tcMar>
            <w:vAlign w:val="center"/>
          </w:tcPr>
          <w:p>
            <w:pPr>
              <w:jc w:val="center"/>
              <w:rPr>
                <w:rFonts w:cs="宋体" w:asciiTheme="majorEastAsia" w:hAnsiTheme="majorEastAsia" w:eastAsiaTheme="majorEastAsia"/>
                <w:sz w:val="24"/>
              </w:rPr>
            </w:pPr>
          </w:p>
        </w:tc>
        <w:tc>
          <w:tcPr>
            <w:tcW w:w="734" w:type="dxa"/>
            <w:vMerge w:val="continue"/>
            <w:tcBorders>
              <w:left w:val="nil"/>
              <w:right w:val="single" w:color="000000" w:sz="6" w:space="0"/>
            </w:tcBorders>
            <w:tcMar>
              <w:top w:w="0" w:type="dxa"/>
              <w:left w:w="105" w:type="dxa"/>
              <w:bottom w:w="0" w:type="dxa"/>
              <w:right w:w="105" w:type="dxa"/>
            </w:tcMar>
            <w:vAlign w:val="center"/>
          </w:tcPr>
          <w:p>
            <w:pPr>
              <w:jc w:val="center"/>
              <w:rPr>
                <w:rFonts w:cs="宋体" w:asciiTheme="majorEastAsia" w:hAnsiTheme="majorEastAsia" w:eastAsiaTheme="majorEastAsia"/>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asciiTheme="majorEastAsia" w:hAnsiTheme="majorEastAsia" w:eastAsiaTheme="majorEastAsia"/>
                <w:sz w:val="24"/>
              </w:rPr>
            </w:pPr>
            <w:r>
              <w:rPr>
                <w:rFonts w:hint="eastAsia" w:cs="楷体" w:asciiTheme="majorEastAsia" w:hAnsiTheme="majorEastAsia" w:eastAsiaTheme="majorEastAsia"/>
                <w:sz w:val="24"/>
              </w:rPr>
              <w:t>质保      （</w:t>
            </w:r>
            <w:r>
              <w:rPr>
                <w:rFonts w:cs="楷体" w:asciiTheme="majorEastAsia" w:hAnsiTheme="majorEastAsia" w:eastAsiaTheme="majorEastAsia"/>
                <w:sz w:val="24"/>
              </w:rPr>
              <w:t>5</w:t>
            </w:r>
            <w:r>
              <w:rPr>
                <w:rFonts w:hint="eastAsia" w:cs="楷体" w:asciiTheme="majorEastAsia" w:hAnsiTheme="majorEastAsia" w:eastAsiaTheme="majorEastAsia"/>
                <w:sz w:val="24"/>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cs="宋体" w:asciiTheme="majorEastAsia" w:hAnsiTheme="majorEastAsia" w:eastAsiaTheme="majorEastAsia"/>
                <w:sz w:val="24"/>
              </w:rPr>
            </w:pPr>
            <w:r>
              <w:rPr>
                <w:rFonts w:hint="eastAsia" w:cs="楷体" w:asciiTheme="majorEastAsia" w:hAnsiTheme="majorEastAsia" w:eastAsiaTheme="majorEastAsia"/>
                <w:sz w:val="24"/>
              </w:rPr>
              <w:t>满足招标文件质保要求得1分，每增加1年质保加1分，本项最高得5分。</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sz w:val="24"/>
              </w:rPr>
              <w:t>5</w:t>
            </w:r>
          </w:p>
        </w:tc>
        <w:tc>
          <w:tcPr>
            <w:tcW w:w="301" w:type="dxa"/>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559" w:type="dxa"/>
            <w:vMerge w:val="continue"/>
            <w:tcBorders>
              <w:left w:val="single" w:color="000000" w:sz="6" w:space="0"/>
              <w:bottom w:val="single" w:color="auto" w:sz="4" w:space="0"/>
              <w:right w:val="single" w:color="000000" w:sz="6" w:space="0"/>
            </w:tcBorders>
            <w:vAlign w:val="center"/>
          </w:tcPr>
          <w:p>
            <w:pPr>
              <w:rPr>
                <w:rFonts w:cs="宋体" w:asciiTheme="majorEastAsia" w:hAnsiTheme="majorEastAsia" w:eastAsiaTheme="majorEastAsia"/>
                <w:sz w:val="24"/>
              </w:rPr>
            </w:pPr>
          </w:p>
        </w:tc>
        <w:tc>
          <w:tcPr>
            <w:tcW w:w="734" w:type="dxa"/>
            <w:vMerge w:val="continue"/>
            <w:tcBorders>
              <w:left w:val="nil"/>
              <w:bottom w:val="single" w:color="auto" w:sz="4" w:space="0"/>
              <w:right w:val="single" w:color="000000" w:sz="6" w:space="0"/>
            </w:tcBorders>
            <w:vAlign w:val="center"/>
          </w:tcPr>
          <w:p>
            <w:pPr>
              <w:rPr>
                <w:rFonts w:cs="宋体" w:asciiTheme="majorEastAsia" w:hAnsiTheme="majorEastAsia" w:eastAsiaTheme="majorEastAsia"/>
                <w:sz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jc w:val="center"/>
              <w:rPr>
                <w:rFonts w:asciiTheme="majorEastAsia" w:hAnsiTheme="majorEastAsia" w:eastAsiaTheme="majorEastAsia"/>
                <w:sz w:val="24"/>
              </w:rPr>
            </w:pPr>
            <w:r>
              <w:rPr>
                <w:rFonts w:hint="eastAsia" w:cs="楷体" w:asciiTheme="majorEastAsia" w:hAnsiTheme="majorEastAsia" w:eastAsiaTheme="majorEastAsia"/>
                <w:sz w:val="24"/>
              </w:rPr>
              <w:t>售后服务  （</w:t>
            </w:r>
            <w:r>
              <w:rPr>
                <w:rFonts w:cs="楷体" w:asciiTheme="majorEastAsia" w:hAnsiTheme="majorEastAsia" w:eastAsiaTheme="majorEastAsia"/>
                <w:sz w:val="24"/>
              </w:rPr>
              <w:t>5</w:t>
            </w:r>
            <w:r>
              <w:rPr>
                <w:rFonts w:hint="eastAsia" w:cs="楷体" w:asciiTheme="majorEastAsia" w:hAnsiTheme="majorEastAsia" w:eastAsiaTheme="majorEastAsia"/>
                <w:sz w:val="24"/>
              </w:rPr>
              <w:t>分）</w:t>
            </w:r>
          </w:p>
        </w:tc>
        <w:tc>
          <w:tcPr>
            <w:tcW w:w="5511" w:type="dxa"/>
            <w:tcBorders>
              <w:top w:val="nil"/>
              <w:left w:val="nil"/>
              <w:bottom w:val="single" w:color="000000" w:sz="6" w:space="0"/>
              <w:right w:val="single" w:color="000000" w:sz="6" w:space="0"/>
            </w:tcBorders>
            <w:tcMar>
              <w:top w:w="0" w:type="dxa"/>
              <w:left w:w="105" w:type="dxa"/>
              <w:bottom w:w="0" w:type="dxa"/>
              <w:right w:w="105" w:type="dxa"/>
            </w:tcMar>
            <w:vAlign w:val="center"/>
          </w:tcPr>
          <w:p>
            <w:pPr>
              <w:rPr>
                <w:rFonts w:cs="宋体" w:asciiTheme="majorEastAsia" w:hAnsiTheme="majorEastAsia" w:eastAsiaTheme="majorEastAsia"/>
                <w:sz w:val="24"/>
              </w:rPr>
            </w:pPr>
            <w:r>
              <w:rPr>
                <w:rFonts w:hint="eastAsia" w:cs="楷体" w:asciiTheme="majorEastAsia" w:hAnsiTheme="majorEastAsia" w:eastAsiaTheme="majorEastAsia"/>
                <w:sz w:val="24"/>
              </w:rPr>
              <w:t>根据投标人提供售后服务方案（含培训）、服务体系（含培训）、服务和范围以及故障解决方案、响应时间、应急处理方案、专业技术人员保障等综合评分。优得</w:t>
            </w:r>
            <w:r>
              <w:rPr>
                <w:rFonts w:cs="楷体" w:asciiTheme="majorEastAsia" w:hAnsiTheme="majorEastAsia" w:eastAsiaTheme="majorEastAsia"/>
                <w:sz w:val="24"/>
              </w:rPr>
              <w:t>5</w:t>
            </w:r>
            <w:r>
              <w:rPr>
                <w:rFonts w:hint="eastAsia" w:cs="楷体" w:asciiTheme="majorEastAsia" w:hAnsiTheme="majorEastAsia" w:eastAsiaTheme="majorEastAsia"/>
                <w:sz w:val="24"/>
              </w:rPr>
              <w:t>分，良得</w:t>
            </w:r>
            <w:r>
              <w:rPr>
                <w:rFonts w:cs="楷体" w:asciiTheme="majorEastAsia" w:hAnsiTheme="majorEastAsia" w:eastAsiaTheme="majorEastAsia"/>
                <w:sz w:val="24"/>
              </w:rPr>
              <w:t>4</w:t>
            </w:r>
            <w:r>
              <w:rPr>
                <w:rFonts w:hint="eastAsia" w:cs="楷体" w:asciiTheme="majorEastAsia" w:hAnsiTheme="majorEastAsia" w:eastAsiaTheme="majorEastAsia"/>
                <w:sz w:val="24"/>
              </w:rPr>
              <w:t>分，一般得</w:t>
            </w:r>
            <w:r>
              <w:rPr>
                <w:rFonts w:cs="楷体" w:asciiTheme="majorEastAsia" w:hAnsiTheme="majorEastAsia" w:eastAsiaTheme="majorEastAsia"/>
                <w:sz w:val="24"/>
              </w:rPr>
              <w:t>3</w:t>
            </w:r>
            <w:r>
              <w:rPr>
                <w:rFonts w:hint="eastAsia" w:cs="楷体" w:asciiTheme="majorEastAsia" w:hAnsiTheme="majorEastAsia" w:eastAsiaTheme="majorEastAsia"/>
                <w:sz w:val="24"/>
              </w:rPr>
              <w:t>分，其他得</w:t>
            </w:r>
            <w:r>
              <w:rPr>
                <w:rFonts w:cs="楷体" w:asciiTheme="majorEastAsia" w:hAnsiTheme="majorEastAsia" w:eastAsiaTheme="majorEastAsia"/>
                <w:sz w:val="24"/>
              </w:rPr>
              <w:t>3</w:t>
            </w:r>
            <w:r>
              <w:rPr>
                <w:rFonts w:hint="eastAsia" w:cs="楷体" w:asciiTheme="majorEastAsia" w:hAnsiTheme="majorEastAsia" w:eastAsiaTheme="majorEastAsia"/>
                <w:sz w:val="24"/>
              </w:rPr>
              <w:t>分以下。</w:t>
            </w:r>
          </w:p>
        </w:tc>
        <w:tc>
          <w:tcPr>
            <w:tcW w:w="708" w:type="dxa"/>
            <w:tcBorders>
              <w:top w:val="nil"/>
              <w:left w:val="nil"/>
              <w:bottom w:val="single" w:color="000000" w:sz="6" w:space="0"/>
              <w:right w:val="nil"/>
            </w:tcBorders>
            <w:vAlign w:val="center"/>
          </w:tcPr>
          <w:p>
            <w:pPr>
              <w:spacing w:before="100" w:beforeAutospacing="1" w:after="100" w:afterAutospacing="1"/>
              <w:jc w:val="center"/>
              <w:rPr>
                <w:rFonts w:cs="宋体" w:asciiTheme="majorEastAsia" w:hAnsiTheme="majorEastAsia" w:eastAsiaTheme="majorEastAsia"/>
                <w:sz w:val="24"/>
              </w:rPr>
            </w:pPr>
            <w:r>
              <w:rPr>
                <w:rFonts w:hint="eastAsia" w:cs="宋体" w:asciiTheme="majorEastAsia" w:hAnsiTheme="majorEastAsia" w:eastAsiaTheme="majorEastAsia"/>
                <w:sz w:val="24"/>
              </w:rPr>
              <w:t>5</w:t>
            </w:r>
          </w:p>
        </w:tc>
        <w:tc>
          <w:tcPr>
            <w:tcW w:w="301" w:type="dxa"/>
            <w:tcBorders>
              <w:top w:val="nil"/>
              <w:left w:val="nil"/>
              <w:bottom w:val="single" w:color="000000" w:sz="6"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5" w:hRule="atLeast"/>
          <w:jc w:val="center"/>
        </w:trPr>
        <w:tc>
          <w:tcPr>
            <w:tcW w:w="559" w:type="dxa"/>
            <w:tcBorders>
              <w:top w:val="nil"/>
              <w:left w:val="single" w:color="000000" w:sz="6" w:space="0"/>
              <w:bottom w:val="single" w:color="auto" w:sz="4" w:space="0"/>
              <w:right w:val="single" w:color="000000" w:sz="6" w:space="0"/>
            </w:tcBorders>
            <w:vAlign w:val="center"/>
          </w:tcPr>
          <w:p>
            <w:pPr>
              <w:jc w:val="center"/>
              <w:rPr>
                <w:rFonts w:cs="宋体" w:asciiTheme="majorEastAsia" w:hAnsiTheme="majorEastAsia" w:eastAsiaTheme="majorEastAsia"/>
                <w:sz w:val="24"/>
              </w:rPr>
            </w:pPr>
            <w:r>
              <w:rPr>
                <w:rFonts w:hint="eastAsia" w:cs="宋体" w:asciiTheme="majorEastAsia" w:hAnsiTheme="majorEastAsia" w:eastAsiaTheme="majorEastAsia"/>
                <w:sz w:val="24"/>
              </w:rPr>
              <w:t>3</w:t>
            </w:r>
          </w:p>
        </w:tc>
        <w:tc>
          <w:tcPr>
            <w:tcW w:w="734" w:type="dxa"/>
            <w:tcBorders>
              <w:top w:val="nil"/>
              <w:left w:val="nil"/>
              <w:bottom w:val="single" w:color="auto" w:sz="4" w:space="0"/>
              <w:right w:val="single" w:color="000000" w:sz="6" w:space="0"/>
            </w:tcBorders>
            <w:vAlign w:val="center"/>
          </w:tcPr>
          <w:p>
            <w:pPr>
              <w:rPr>
                <w:rFonts w:cs="宋体" w:asciiTheme="majorEastAsia" w:hAnsiTheme="majorEastAsia" w:eastAsiaTheme="majorEastAsia"/>
                <w:sz w:val="24"/>
              </w:rPr>
            </w:pPr>
            <w:r>
              <w:rPr>
                <w:rFonts w:hint="eastAsia" w:cs="楷体" w:asciiTheme="majorEastAsia" w:hAnsiTheme="majorEastAsia" w:eastAsiaTheme="majorEastAsia"/>
                <w:sz w:val="24"/>
              </w:rPr>
              <w:t>功能演示</w:t>
            </w:r>
            <w:r>
              <w:rPr>
                <w:rFonts w:hint="eastAsia" w:cs="楷体" w:asciiTheme="majorEastAsia" w:hAnsiTheme="majorEastAsia" w:eastAsiaTheme="majorEastAsia"/>
                <w:sz w:val="24"/>
                <w:lang w:val="en-US" w:eastAsia="zh-CN"/>
              </w:rPr>
              <w:t xml:space="preserve">   </w:t>
            </w:r>
            <w:bookmarkStart w:id="28" w:name="_GoBack"/>
            <w:bookmarkEnd w:id="28"/>
            <w:r>
              <w:rPr>
                <w:rFonts w:hint="eastAsia" w:cs="楷体" w:asciiTheme="majorEastAsia" w:hAnsiTheme="majorEastAsia" w:eastAsiaTheme="majorEastAsia"/>
                <w:sz w:val="24"/>
                <w:lang w:eastAsia="ja-JP"/>
              </w:rPr>
              <w:t>20</w:t>
            </w:r>
            <w:r>
              <w:rPr>
                <w:rFonts w:hint="eastAsia" w:cs="楷体" w:asciiTheme="majorEastAsia" w:hAnsiTheme="majorEastAsia" w:eastAsiaTheme="majorEastAsia"/>
                <w:sz w:val="24"/>
              </w:rPr>
              <w:t>分</w:t>
            </w:r>
          </w:p>
        </w:tc>
        <w:tc>
          <w:tcPr>
            <w:tcW w:w="1418" w:type="dxa"/>
            <w:tcBorders>
              <w:top w:val="nil"/>
              <w:left w:val="nil"/>
              <w:bottom w:val="single" w:color="auto" w:sz="4" w:space="0"/>
              <w:right w:val="single" w:color="000000" w:sz="6" w:space="0"/>
            </w:tcBorders>
            <w:tcMar>
              <w:top w:w="0" w:type="dxa"/>
              <w:left w:w="105" w:type="dxa"/>
              <w:bottom w:w="0" w:type="dxa"/>
              <w:right w:w="105" w:type="dxa"/>
            </w:tcMar>
            <w:vAlign w:val="center"/>
          </w:tcPr>
          <w:p>
            <w:pPr>
              <w:jc w:val="center"/>
              <w:rPr>
                <w:rFonts w:asciiTheme="majorEastAsia" w:hAnsiTheme="majorEastAsia" w:eastAsiaTheme="majorEastAsia"/>
                <w:sz w:val="24"/>
              </w:rPr>
            </w:pPr>
            <w:r>
              <w:rPr>
                <w:rFonts w:hint="eastAsia" w:cs="楷体" w:asciiTheme="majorEastAsia" w:hAnsiTheme="majorEastAsia" w:eastAsiaTheme="majorEastAsia"/>
                <w:sz w:val="24"/>
              </w:rPr>
              <w:t>功能演示 （</w:t>
            </w:r>
            <w:r>
              <w:rPr>
                <w:rFonts w:hint="eastAsia" w:cs="楷体" w:asciiTheme="majorEastAsia" w:hAnsiTheme="majorEastAsia" w:eastAsiaTheme="majorEastAsia"/>
                <w:sz w:val="24"/>
                <w:lang w:eastAsia="ja-JP"/>
              </w:rPr>
              <w:t>20</w:t>
            </w:r>
            <w:r>
              <w:rPr>
                <w:rFonts w:hint="eastAsia" w:cs="楷体" w:asciiTheme="majorEastAsia" w:hAnsiTheme="majorEastAsia" w:eastAsiaTheme="majorEastAsia"/>
                <w:sz w:val="24"/>
              </w:rPr>
              <w:t>分）</w:t>
            </w:r>
          </w:p>
        </w:tc>
        <w:tc>
          <w:tcPr>
            <w:tcW w:w="5511" w:type="dxa"/>
            <w:tcBorders>
              <w:top w:val="nil"/>
              <w:left w:val="nil"/>
              <w:bottom w:val="single" w:color="auto" w:sz="4" w:space="0"/>
              <w:right w:val="single" w:color="000000" w:sz="6" w:space="0"/>
            </w:tcBorders>
            <w:tcMar>
              <w:top w:w="0" w:type="dxa"/>
              <w:left w:w="105" w:type="dxa"/>
              <w:bottom w:w="0" w:type="dxa"/>
              <w:right w:w="105" w:type="dxa"/>
            </w:tcMar>
            <w:vAlign w:val="center"/>
          </w:tcPr>
          <w:p>
            <w:pPr>
              <w:rPr>
                <w:rFonts w:cs="楷体" w:asciiTheme="majorEastAsia" w:hAnsiTheme="majorEastAsia" w:eastAsiaTheme="majorEastAsia"/>
                <w:color w:val="000000"/>
                <w:sz w:val="24"/>
              </w:rPr>
            </w:pPr>
            <w:r>
              <w:rPr>
                <w:rFonts w:hint="eastAsia" w:cs="楷体" w:asciiTheme="majorEastAsia" w:hAnsiTheme="majorEastAsia" w:eastAsiaTheme="majorEastAsia"/>
                <w:sz w:val="24"/>
              </w:rPr>
              <w:t>根据投标人对系统功能的演示情况综合评分：优得17-20分，良得13-16分，一般得12分，其他得12分以下。</w:t>
            </w:r>
          </w:p>
          <w:p>
            <w:pPr>
              <w:rPr>
                <w:rFonts w:cs="楷体" w:asciiTheme="majorEastAsia" w:hAnsiTheme="majorEastAsia" w:eastAsiaTheme="majorEastAsia"/>
                <w:b/>
                <w:sz w:val="24"/>
              </w:rPr>
            </w:pPr>
            <w:r>
              <w:rPr>
                <w:rFonts w:hint="eastAsia" w:cs="楷体" w:asciiTheme="majorEastAsia" w:hAnsiTheme="majorEastAsia" w:eastAsiaTheme="majorEastAsia"/>
                <w:b/>
                <w:sz w:val="24"/>
              </w:rPr>
              <w:t>注：1</w:t>
            </w:r>
            <w:r>
              <w:rPr>
                <w:rFonts w:cs="楷体" w:asciiTheme="majorEastAsia" w:hAnsiTheme="majorEastAsia" w:eastAsiaTheme="majorEastAsia"/>
                <w:b/>
                <w:sz w:val="24"/>
              </w:rPr>
              <w:t>.</w:t>
            </w:r>
            <w:r>
              <w:rPr>
                <w:rFonts w:hint="eastAsia" w:cs="楷体" w:asciiTheme="majorEastAsia" w:hAnsiTheme="majorEastAsia" w:eastAsiaTheme="majorEastAsia"/>
                <w:b/>
                <w:sz w:val="24"/>
              </w:rPr>
              <w:t>投标人将演示全过程进行录屏和文字说明一并制作成MP</w:t>
            </w:r>
            <w:r>
              <w:rPr>
                <w:rFonts w:cs="楷体" w:asciiTheme="majorEastAsia" w:hAnsiTheme="majorEastAsia" w:eastAsiaTheme="majorEastAsia"/>
                <w:b/>
                <w:sz w:val="24"/>
              </w:rPr>
              <w:t>4</w:t>
            </w:r>
            <w:r>
              <w:rPr>
                <w:rFonts w:hint="eastAsia" w:cs="楷体" w:asciiTheme="majorEastAsia" w:hAnsiTheme="majorEastAsia" w:eastAsiaTheme="majorEastAsia"/>
                <w:b/>
                <w:sz w:val="24"/>
              </w:rPr>
              <w:t>格式的视频文件，保存至U盘（一式两份）。演示内容包括但不限于磋商文件中要求演示的部分。视频须清晰可辨别，声音大小适中。</w:t>
            </w:r>
          </w:p>
          <w:p>
            <w:pPr>
              <w:rPr>
                <w:rFonts w:cs="楷体" w:asciiTheme="majorEastAsia" w:hAnsiTheme="majorEastAsia" w:eastAsiaTheme="majorEastAsia"/>
                <w:b/>
                <w:sz w:val="24"/>
              </w:rPr>
            </w:pPr>
          </w:p>
          <w:p>
            <w:pPr>
              <w:rPr>
                <w:rFonts w:cs="宋体" w:asciiTheme="majorEastAsia" w:hAnsiTheme="majorEastAsia" w:eastAsiaTheme="majorEastAsia"/>
                <w:sz w:val="24"/>
              </w:rPr>
            </w:pPr>
            <w:r>
              <w:rPr>
                <w:rFonts w:hint="eastAsia" w:cs="楷体" w:asciiTheme="majorEastAsia" w:hAnsiTheme="majorEastAsia" w:eastAsiaTheme="majorEastAsia"/>
                <w:b/>
                <w:sz w:val="24"/>
              </w:rPr>
              <w:t>2</w:t>
            </w:r>
            <w:r>
              <w:rPr>
                <w:rFonts w:cs="楷体" w:asciiTheme="majorEastAsia" w:hAnsiTheme="majorEastAsia" w:eastAsiaTheme="majorEastAsia"/>
                <w:b/>
                <w:sz w:val="24"/>
              </w:rPr>
              <w:t>.</w:t>
            </w:r>
            <w:r>
              <w:rPr>
                <w:rFonts w:hint="eastAsia" w:cs="楷体" w:asciiTheme="majorEastAsia" w:hAnsiTheme="majorEastAsia" w:eastAsiaTheme="majorEastAsia"/>
                <w:b/>
                <w:sz w:val="24"/>
              </w:rPr>
              <w:t>须使用线上真实系统进行演示，由投标人提交包含上述内容的演示U盘（时间不超过15分钟），演示的内容可以附带必要的文字说明。</w:t>
            </w:r>
          </w:p>
        </w:tc>
        <w:tc>
          <w:tcPr>
            <w:tcW w:w="708" w:type="dxa"/>
            <w:tcBorders>
              <w:top w:val="nil"/>
              <w:left w:val="nil"/>
              <w:bottom w:val="single" w:color="auto" w:sz="4" w:space="0"/>
              <w:right w:val="nil"/>
            </w:tcBorders>
            <w:vAlign w:val="center"/>
          </w:tcPr>
          <w:p>
            <w:pPr>
              <w:spacing w:before="100" w:beforeAutospacing="1" w:after="100" w:afterAutospacing="1"/>
              <w:jc w:val="center"/>
              <w:rPr>
                <w:rFonts w:cs="宋体" w:asciiTheme="majorEastAsia" w:hAnsiTheme="majorEastAsia" w:eastAsiaTheme="majorEastAsia"/>
                <w:sz w:val="24"/>
              </w:rPr>
            </w:pPr>
            <w:r>
              <w:rPr>
                <w:rFonts w:cs="宋体" w:asciiTheme="majorEastAsia" w:hAnsiTheme="majorEastAsia" w:eastAsiaTheme="majorEastAsia"/>
                <w:sz w:val="24"/>
              </w:rPr>
              <w:t>20</w:t>
            </w:r>
          </w:p>
        </w:tc>
        <w:tc>
          <w:tcPr>
            <w:tcW w:w="301" w:type="dxa"/>
            <w:tcBorders>
              <w:top w:val="nil"/>
              <w:left w:val="nil"/>
              <w:bottom w:val="single" w:color="auto" w:sz="4" w:space="0"/>
              <w:right w:val="single" w:color="000000" w:sz="6" w:space="0"/>
            </w:tcBorders>
            <w:tcMar>
              <w:top w:w="0" w:type="dxa"/>
              <w:left w:w="105" w:type="dxa"/>
              <w:bottom w:w="0" w:type="dxa"/>
              <w:right w:w="105" w:type="dxa"/>
            </w:tcMar>
            <w:vAlign w:val="center"/>
          </w:tcPr>
          <w:p>
            <w:pPr>
              <w:spacing w:before="100" w:beforeAutospacing="1" w:after="100" w:afterAutospacing="1"/>
              <w:jc w:val="center"/>
              <w:rPr>
                <w:rFonts w:cs="宋体" w:asciiTheme="majorEastAsia" w:hAnsiTheme="majorEastAsia" w:eastAsiaTheme="majorEastAsia"/>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559" w:type="dxa"/>
            <w:tcBorders>
              <w:top w:val="nil"/>
              <w:left w:val="single" w:color="000000" w:sz="6" w:space="0"/>
              <w:bottom w:val="single" w:color="auto" w:sz="4" w:space="0"/>
              <w:right w:val="single" w:color="000000" w:sz="6" w:space="0"/>
            </w:tcBorders>
            <w:vAlign w:val="center"/>
          </w:tcPr>
          <w:p>
            <w:pPr>
              <w:jc w:val="center"/>
              <w:rPr>
                <w:rFonts w:cs="宋体" w:asciiTheme="majorEastAsia" w:hAnsiTheme="majorEastAsia" w:eastAsiaTheme="majorEastAsia"/>
                <w:sz w:val="24"/>
              </w:rPr>
            </w:pPr>
            <w:r>
              <w:rPr>
                <w:rFonts w:cs="宋体" w:asciiTheme="majorEastAsia" w:hAnsiTheme="majorEastAsia" w:eastAsiaTheme="majorEastAsia"/>
                <w:sz w:val="24"/>
              </w:rPr>
              <w:t>4</w:t>
            </w:r>
          </w:p>
        </w:tc>
        <w:tc>
          <w:tcPr>
            <w:tcW w:w="734" w:type="dxa"/>
            <w:tcBorders>
              <w:top w:val="nil"/>
              <w:left w:val="nil"/>
              <w:bottom w:val="single" w:color="auto" w:sz="4" w:space="0"/>
              <w:right w:val="single" w:color="000000" w:sz="6" w:space="0"/>
            </w:tcBorders>
            <w:vAlign w:val="center"/>
          </w:tcPr>
          <w:p>
            <w:pPr>
              <w:rPr>
                <w:rFonts w:cs="宋体" w:asciiTheme="majorEastAsia" w:hAnsiTheme="majorEastAsia" w:eastAsiaTheme="majorEastAsia"/>
                <w:sz w:val="24"/>
              </w:rPr>
            </w:pPr>
            <w:r>
              <w:rPr>
                <w:rFonts w:hint="eastAsia" w:cs="宋体" w:asciiTheme="majorEastAsia" w:hAnsiTheme="majorEastAsia" w:eastAsiaTheme="majorEastAsia"/>
                <w:sz w:val="24"/>
              </w:rPr>
              <w:t>价格3</w:t>
            </w:r>
            <w:r>
              <w:rPr>
                <w:rFonts w:cs="宋体" w:asciiTheme="majorEastAsia" w:hAnsiTheme="majorEastAsia" w:eastAsiaTheme="majorEastAsia"/>
                <w:sz w:val="24"/>
              </w:rPr>
              <w:t>0</w:t>
            </w:r>
            <w:r>
              <w:rPr>
                <w:rFonts w:hint="eastAsia" w:cs="宋体" w:asciiTheme="majorEastAsia" w:hAnsiTheme="majorEastAsia" w:eastAsiaTheme="majorEastAsia"/>
                <w:sz w:val="24"/>
              </w:rPr>
              <w:t>分</w:t>
            </w:r>
          </w:p>
        </w:tc>
        <w:tc>
          <w:tcPr>
            <w:tcW w:w="1418" w:type="dxa"/>
            <w:tcBorders>
              <w:top w:val="single" w:color="auto" w:sz="4" w:space="0"/>
              <w:left w:val="single" w:color="000000" w:sz="6" w:space="0"/>
              <w:bottom w:val="single" w:color="auto" w:sz="4" w:space="0"/>
              <w:right w:val="single" w:color="auto" w:sz="4" w:space="0"/>
            </w:tcBorders>
            <w:tcMar>
              <w:top w:w="0" w:type="dxa"/>
              <w:left w:w="105" w:type="dxa"/>
              <w:bottom w:w="0" w:type="dxa"/>
              <w:right w:w="105" w:type="dxa"/>
            </w:tcMar>
            <w:vAlign w:val="center"/>
          </w:tcPr>
          <w:p>
            <w:pPr>
              <w:jc w:val="center"/>
              <w:rPr>
                <w:rFonts w:asciiTheme="majorEastAsia" w:hAnsiTheme="majorEastAsia" w:eastAsiaTheme="majorEastAsia"/>
                <w:sz w:val="24"/>
              </w:rPr>
            </w:pPr>
            <w:r>
              <w:rPr>
                <w:rFonts w:hint="eastAsia" w:cs="楷体" w:asciiTheme="majorEastAsia" w:hAnsiTheme="majorEastAsia" w:eastAsiaTheme="majorEastAsia"/>
                <w:sz w:val="24"/>
              </w:rPr>
              <w:t>报价     （</w:t>
            </w:r>
            <w:r>
              <w:rPr>
                <w:rFonts w:cs="楷体" w:asciiTheme="majorEastAsia" w:hAnsiTheme="majorEastAsia" w:eastAsiaTheme="majorEastAsia"/>
                <w:sz w:val="24"/>
                <w:lang w:eastAsia="ja-JP"/>
              </w:rPr>
              <w:t>3</w:t>
            </w:r>
            <w:r>
              <w:rPr>
                <w:rFonts w:hint="eastAsia" w:cs="楷体" w:asciiTheme="majorEastAsia" w:hAnsiTheme="majorEastAsia" w:eastAsiaTheme="majorEastAsia"/>
                <w:sz w:val="24"/>
                <w:lang w:eastAsia="ja-JP"/>
              </w:rPr>
              <w:t>0</w:t>
            </w:r>
            <w:r>
              <w:rPr>
                <w:rFonts w:hint="eastAsia" w:cs="楷体" w:asciiTheme="majorEastAsia" w:hAnsiTheme="majorEastAsia" w:eastAsiaTheme="majorEastAsia"/>
                <w:sz w:val="24"/>
              </w:rPr>
              <w:t>分）</w:t>
            </w:r>
          </w:p>
        </w:tc>
        <w:tc>
          <w:tcPr>
            <w:tcW w:w="551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cs="宋体" w:asciiTheme="majorEastAsia" w:hAnsiTheme="majorEastAsia" w:eastAsiaTheme="majorEastAsia"/>
                <w:sz w:val="24"/>
              </w:rPr>
            </w:pPr>
            <w:r>
              <w:rPr>
                <w:rFonts w:hint="eastAsia" w:cs="宋体" w:asciiTheme="majorEastAsia" w:hAnsiTheme="majorEastAsia" w:eastAsiaTheme="majorEastAsia"/>
                <w:sz w:val="24"/>
              </w:rPr>
              <w:t>满足采购文件要求且投标价格最低的投标报价为评标基准价，其价格分为满分。其他投标人的价格分统一按照下列公式计算：投标报价得分=(评标基准价／投标报价)×</w:t>
            </w:r>
            <w:r>
              <w:rPr>
                <w:rFonts w:cs="宋体" w:asciiTheme="majorEastAsia" w:hAnsiTheme="majorEastAsia" w:eastAsiaTheme="majorEastAsia"/>
                <w:sz w:val="24"/>
              </w:rPr>
              <w:t>3</w:t>
            </w:r>
            <w:r>
              <w:rPr>
                <w:rFonts w:hint="eastAsia" w:cs="宋体" w:asciiTheme="majorEastAsia" w:hAnsiTheme="majorEastAsia" w:eastAsiaTheme="majorEastAsia"/>
                <w:sz w:val="24"/>
              </w:rPr>
              <w:t>0</w:t>
            </w:r>
          </w:p>
        </w:tc>
        <w:tc>
          <w:tcPr>
            <w:tcW w:w="1009"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cs="宋体" w:asciiTheme="majorEastAsia" w:hAnsiTheme="majorEastAsia" w:eastAsiaTheme="majorEastAsia"/>
                <w:sz w:val="24"/>
              </w:rPr>
            </w:pPr>
            <w:r>
              <w:rPr>
                <w:rFonts w:cs="宋体" w:asciiTheme="majorEastAsia" w:hAnsiTheme="majorEastAsia" w:eastAsiaTheme="majorEastAsia"/>
                <w:sz w:val="24"/>
              </w:rPr>
              <w:t>30</w:t>
            </w:r>
          </w:p>
        </w:tc>
      </w:tr>
    </w:tbl>
    <w:p>
      <w:pPr>
        <w:pStyle w:val="27"/>
        <w:rPr>
          <w:rFonts w:cs="华文楷体" w:asciiTheme="minorEastAsia" w:hAnsiTheme="minorEastAsia" w:eastAsiaTheme="minorEastAsia"/>
          <w:color w:val="000000" w:themeColor="text1"/>
          <w:sz w:val="24"/>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20</w:t>
    </w:r>
    <w: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65145"/>
    <w:multiLevelType w:val="multilevel"/>
    <w:tmpl w:val="91C65145"/>
    <w:lvl w:ilvl="0" w:tentative="0">
      <w:start w:val="1"/>
      <w:numFmt w:val="decimal"/>
      <w:lvlText w:val="%1."/>
      <w:lvlJc w:val="left"/>
      <w:pPr>
        <w:ind w:left="425" w:hanging="425"/>
      </w:pPr>
      <w:rPr>
        <w:rFonts w:hint="default"/>
      </w:rPr>
    </w:lvl>
    <w:lvl w:ilvl="1" w:tentative="0">
      <w:start w:val="1"/>
      <w:numFmt w:val="decimal"/>
      <w:lvlText w:val="%1.%2."/>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9DC7194"/>
    <w:multiLevelType w:val="multilevel"/>
    <w:tmpl w:val="09DC7194"/>
    <w:lvl w:ilvl="0" w:tentative="0">
      <w:start w:val="1"/>
      <w:numFmt w:val="decimal"/>
      <w:pStyle w:val="25"/>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8FFE568"/>
    <w:multiLevelType w:val="singleLevel"/>
    <w:tmpl w:val="48FFE568"/>
    <w:lvl w:ilvl="0" w:tentative="0">
      <w:start w:val="3"/>
      <w:numFmt w:val="chineseCounting"/>
      <w:suff w:val="nothing"/>
      <w:lvlText w:val="（%1）"/>
      <w:lvlJc w:val="left"/>
      <w:rPr>
        <w:rFonts w:hint="eastAsia"/>
      </w:rPr>
    </w:lvl>
  </w:abstractNum>
  <w:abstractNum w:abstractNumId="5">
    <w:nsid w:val="656D6133"/>
    <w:multiLevelType w:val="multilevel"/>
    <w:tmpl w:val="656D6133"/>
    <w:lvl w:ilvl="0" w:tentative="0">
      <w:start w:val="1"/>
      <w:numFmt w:val="chineseCountingThousand"/>
      <w:pStyle w:val="28"/>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3"/>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5"/>
  </w:num>
  <w:num w:numId="2">
    <w:abstractNumId w:val="1"/>
  </w:num>
  <w:num w:numId="3">
    <w:abstractNumId w:val="2"/>
  </w:num>
  <w:num w:numId="4">
    <w:abstractNumId w:val="0"/>
  </w:num>
  <w:num w:numId="5">
    <w:abstractNumId w:val="3"/>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2MTIwtDAzszQ1s7A0MDRW0lEKTi0uzszPAykwrAUAuYKFNSwAAAA="/>
    <w:docVar w:name="commondata" w:val="eyJoZGlkIjoiYWJmNTAxYTA0NTllZTU0OWY5NWY0MWNlMzBjNGU2OTYifQ=="/>
  </w:docVars>
  <w:rsids>
    <w:rsidRoot w:val="00677253"/>
    <w:rsid w:val="000009C2"/>
    <w:rsid w:val="00001165"/>
    <w:rsid w:val="0000296C"/>
    <w:rsid w:val="00005F56"/>
    <w:rsid w:val="00012671"/>
    <w:rsid w:val="00023C17"/>
    <w:rsid w:val="00026664"/>
    <w:rsid w:val="00030B02"/>
    <w:rsid w:val="00030B89"/>
    <w:rsid w:val="00033FFC"/>
    <w:rsid w:val="0004032E"/>
    <w:rsid w:val="00040922"/>
    <w:rsid w:val="00051E51"/>
    <w:rsid w:val="00052E71"/>
    <w:rsid w:val="000532D5"/>
    <w:rsid w:val="000544D9"/>
    <w:rsid w:val="000548B7"/>
    <w:rsid w:val="0005727A"/>
    <w:rsid w:val="00061137"/>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3E8D"/>
    <w:rsid w:val="00095E35"/>
    <w:rsid w:val="00097714"/>
    <w:rsid w:val="000A237E"/>
    <w:rsid w:val="000B028E"/>
    <w:rsid w:val="000B1915"/>
    <w:rsid w:val="000B2A23"/>
    <w:rsid w:val="000B46B6"/>
    <w:rsid w:val="000B513A"/>
    <w:rsid w:val="000B5627"/>
    <w:rsid w:val="000B612A"/>
    <w:rsid w:val="000C509E"/>
    <w:rsid w:val="000C5C14"/>
    <w:rsid w:val="000C7202"/>
    <w:rsid w:val="000D0F53"/>
    <w:rsid w:val="000D1EE9"/>
    <w:rsid w:val="000E1282"/>
    <w:rsid w:val="000E189D"/>
    <w:rsid w:val="000F42D4"/>
    <w:rsid w:val="000F7B4F"/>
    <w:rsid w:val="001013C7"/>
    <w:rsid w:val="00113320"/>
    <w:rsid w:val="00120740"/>
    <w:rsid w:val="001238DC"/>
    <w:rsid w:val="00124D6A"/>
    <w:rsid w:val="00132DF1"/>
    <w:rsid w:val="001339E1"/>
    <w:rsid w:val="00136ECC"/>
    <w:rsid w:val="0014532C"/>
    <w:rsid w:val="00151FE3"/>
    <w:rsid w:val="001523D1"/>
    <w:rsid w:val="00152AF7"/>
    <w:rsid w:val="001537D0"/>
    <w:rsid w:val="0015538A"/>
    <w:rsid w:val="00157D41"/>
    <w:rsid w:val="00161281"/>
    <w:rsid w:val="00162658"/>
    <w:rsid w:val="0016338D"/>
    <w:rsid w:val="001669DC"/>
    <w:rsid w:val="00167689"/>
    <w:rsid w:val="00174E6A"/>
    <w:rsid w:val="001805D4"/>
    <w:rsid w:val="0018632F"/>
    <w:rsid w:val="001915B6"/>
    <w:rsid w:val="001916F0"/>
    <w:rsid w:val="001945DD"/>
    <w:rsid w:val="001A1588"/>
    <w:rsid w:val="001B4996"/>
    <w:rsid w:val="001B542D"/>
    <w:rsid w:val="001B7DE0"/>
    <w:rsid w:val="001C1238"/>
    <w:rsid w:val="001C2FDD"/>
    <w:rsid w:val="001C3CB8"/>
    <w:rsid w:val="001C7B5D"/>
    <w:rsid w:val="001D1544"/>
    <w:rsid w:val="001D390A"/>
    <w:rsid w:val="001D74AA"/>
    <w:rsid w:val="001E56B9"/>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3146B"/>
    <w:rsid w:val="002326FF"/>
    <w:rsid w:val="00241F5B"/>
    <w:rsid w:val="0025143B"/>
    <w:rsid w:val="00253DC5"/>
    <w:rsid w:val="00255210"/>
    <w:rsid w:val="00257537"/>
    <w:rsid w:val="00264F2E"/>
    <w:rsid w:val="00267B4C"/>
    <w:rsid w:val="002712BA"/>
    <w:rsid w:val="0027442F"/>
    <w:rsid w:val="00290BA5"/>
    <w:rsid w:val="00294021"/>
    <w:rsid w:val="00297A5E"/>
    <w:rsid w:val="002A22C1"/>
    <w:rsid w:val="002A2CCF"/>
    <w:rsid w:val="002A4D83"/>
    <w:rsid w:val="002A6042"/>
    <w:rsid w:val="002A6850"/>
    <w:rsid w:val="002A74A8"/>
    <w:rsid w:val="002A7FA0"/>
    <w:rsid w:val="002C4EED"/>
    <w:rsid w:val="002C7D1C"/>
    <w:rsid w:val="002D3D45"/>
    <w:rsid w:val="002D4BDA"/>
    <w:rsid w:val="002D4F55"/>
    <w:rsid w:val="002E0A69"/>
    <w:rsid w:val="002E2E09"/>
    <w:rsid w:val="002E3A23"/>
    <w:rsid w:val="002E4271"/>
    <w:rsid w:val="002E4C38"/>
    <w:rsid w:val="002E5361"/>
    <w:rsid w:val="002F27D3"/>
    <w:rsid w:val="002F45F4"/>
    <w:rsid w:val="002F7B8E"/>
    <w:rsid w:val="003019B2"/>
    <w:rsid w:val="0030541D"/>
    <w:rsid w:val="00310E99"/>
    <w:rsid w:val="003133D5"/>
    <w:rsid w:val="00314EF2"/>
    <w:rsid w:val="00317D46"/>
    <w:rsid w:val="00322B5A"/>
    <w:rsid w:val="00322BE9"/>
    <w:rsid w:val="00333570"/>
    <w:rsid w:val="00334BA9"/>
    <w:rsid w:val="003379C1"/>
    <w:rsid w:val="00342672"/>
    <w:rsid w:val="003442B7"/>
    <w:rsid w:val="0034778F"/>
    <w:rsid w:val="00356653"/>
    <w:rsid w:val="003724E4"/>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4D8A"/>
    <w:rsid w:val="004002A7"/>
    <w:rsid w:val="0040195A"/>
    <w:rsid w:val="00402946"/>
    <w:rsid w:val="0040452C"/>
    <w:rsid w:val="004064D4"/>
    <w:rsid w:val="004156E2"/>
    <w:rsid w:val="00416090"/>
    <w:rsid w:val="00416531"/>
    <w:rsid w:val="004168FC"/>
    <w:rsid w:val="00425EB8"/>
    <w:rsid w:val="00426FCF"/>
    <w:rsid w:val="004332DF"/>
    <w:rsid w:val="004344AC"/>
    <w:rsid w:val="00434C4C"/>
    <w:rsid w:val="00434E30"/>
    <w:rsid w:val="00435E4E"/>
    <w:rsid w:val="00437917"/>
    <w:rsid w:val="00442C3E"/>
    <w:rsid w:val="00444E23"/>
    <w:rsid w:val="00450E2C"/>
    <w:rsid w:val="004516F9"/>
    <w:rsid w:val="0045431F"/>
    <w:rsid w:val="00461EE9"/>
    <w:rsid w:val="004648EC"/>
    <w:rsid w:val="00467767"/>
    <w:rsid w:val="004702A0"/>
    <w:rsid w:val="0047374D"/>
    <w:rsid w:val="004751B8"/>
    <w:rsid w:val="004846D6"/>
    <w:rsid w:val="0049039F"/>
    <w:rsid w:val="00491C12"/>
    <w:rsid w:val="004974EA"/>
    <w:rsid w:val="004A1940"/>
    <w:rsid w:val="004B0D1E"/>
    <w:rsid w:val="004B6171"/>
    <w:rsid w:val="004C43FD"/>
    <w:rsid w:val="004C6481"/>
    <w:rsid w:val="004D0704"/>
    <w:rsid w:val="004D29DE"/>
    <w:rsid w:val="004D476B"/>
    <w:rsid w:val="004D4B85"/>
    <w:rsid w:val="004E2681"/>
    <w:rsid w:val="004E2F45"/>
    <w:rsid w:val="004E3241"/>
    <w:rsid w:val="004E38D8"/>
    <w:rsid w:val="004E7ABA"/>
    <w:rsid w:val="004F17A3"/>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91B3B"/>
    <w:rsid w:val="00593E86"/>
    <w:rsid w:val="005941CC"/>
    <w:rsid w:val="005960FD"/>
    <w:rsid w:val="005A6C3F"/>
    <w:rsid w:val="005A79D1"/>
    <w:rsid w:val="005B1476"/>
    <w:rsid w:val="005B1BFE"/>
    <w:rsid w:val="005B3816"/>
    <w:rsid w:val="005C0785"/>
    <w:rsid w:val="005C27D0"/>
    <w:rsid w:val="005C35CE"/>
    <w:rsid w:val="005C5AD0"/>
    <w:rsid w:val="005C6DA8"/>
    <w:rsid w:val="005C7576"/>
    <w:rsid w:val="005C76E7"/>
    <w:rsid w:val="005D67B0"/>
    <w:rsid w:val="005E1939"/>
    <w:rsid w:val="005E2C35"/>
    <w:rsid w:val="005E349E"/>
    <w:rsid w:val="005F2940"/>
    <w:rsid w:val="005F2BE4"/>
    <w:rsid w:val="005F40F5"/>
    <w:rsid w:val="005F4BAA"/>
    <w:rsid w:val="005F5C62"/>
    <w:rsid w:val="00601719"/>
    <w:rsid w:val="00603792"/>
    <w:rsid w:val="006041BB"/>
    <w:rsid w:val="00604D5A"/>
    <w:rsid w:val="00612484"/>
    <w:rsid w:val="00612567"/>
    <w:rsid w:val="0061306B"/>
    <w:rsid w:val="0061505B"/>
    <w:rsid w:val="00616A3D"/>
    <w:rsid w:val="00623427"/>
    <w:rsid w:val="006268CA"/>
    <w:rsid w:val="006275FB"/>
    <w:rsid w:val="00627F26"/>
    <w:rsid w:val="00634731"/>
    <w:rsid w:val="0063507D"/>
    <w:rsid w:val="00635CC3"/>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6518"/>
    <w:rsid w:val="006B2C69"/>
    <w:rsid w:val="006B4D5E"/>
    <w:rsid w:val="006B76C4"/>
    <w:rsid w:val="006C0063"/>
    <w:rsid w:val="006C21C0"/>
    <w:rsid w:val="006C265B"/>
    <w:rsid w:val="006C36F6"/>
    <w:rsid w:val="006D0494"/>
    <w:rsid w:val="006D2E6B"/>
    <w:rsid w:val="006D5B53"/>
    <w:rsid w:val="006D6402"/>
    <w:rsid w:val="006D67A1"/>
    <w:rsid w:val="006E1FED"/>
    <w:rsid w:val="006E2B85"/>
    <w:rsid w:val="006E468F"/>
    <w:rsid w:val="006E4974"/>
    <w:rsid w:val="006E66F9"/>
    <w:rsid w:val="006E6BA9"/>
    <w:rsid w:val="006F1D8B"/>
    <w:rsid w:val="00707159"/>
    <w:rsid w:val="007110B2"/>
    <w:rsid w:val="0071278A"/>
    <w:rsid w:val="0071378F"/>
    <w:rsid w:val="00716385"/>
    <w:rsid w:val="00721713"/>
    <w:rsid w:val="007229E8"/>
    <w:rsid w:val="00723444"/>
    <w:rsid w:val="007238BF"/>
    <w:rsid w:val="00725EC7"/>
    <w:rsid w:val="00726604"/>
    <w:rsid w:val="007352D6"/>
    <w:rsid w:val="007408E3"/>
    <w:rsid w:val="00740B2F"/>
    <w:rsid w:val="00741D1A"/>
    <w:rsid w:val="00753C2D"/>
    <w:rsid w:val="00762729"/>
    <w:rsid w:val="00765F0A"/>
    <w:rsid w:val="0076688D"/>
    <w:rsid w:val="0076725C"/>
    <w:rsid w:val="00770B3F"/>
    <w:rsid w:val="007740EA"/>
    <w:rsid w:val="00790EF8"/>
    <w:rsid w:val="00792C70"/>
    <w:rsid w:val="00792C98"/>
    <w:rsid w:val="00792DFF"/>
    <w:rsid w:val="00794020"/>
    <w:rsid w:val="007942D2"/>
    <w:rsid w:val="007954B2"/>
    <w:rsid w:val="00795FFF"/>
    <w:rsid w:val="007A639B"/>
    <w:rsid w:val="007A66C8"/>
    <w:rsid w:val="007B09B1"/>
    <w:rsid w:val="007C19EB"/>
    <w:rsid w:val="007C445E"/>
    <w:rsid w:val="007C5FF1"/>
    <w:rsid w:val="007D181E"/>
    <w:rsid w:val="007D748D"/>
    <w:rsid w:val="007D7D46"/>
    <w:rsid w:val="007E4ED9"/>
    <w:rsid w:val="007E64A1"/>
    <w:rsid w:val="007F2B7E"/>
    <w:rsid w:val="007F2BC8"/>
    <w:rsid w:val="007F5B82"/>
    <w:rsid w:val="00801EF2"/>
    <w:rsid w:val="00801F7E"/>
    <w:rsid w:val="00802E7E"/>
    <w:rsid w:val="00806298"/>
    <w:rsid w:val="00810CF0"/>
    <w:rsid w:val="008110B7"/>
    <w:rsid w:val="00814E41"/>
    <w:rsid w:val="00817E79"/>
    <w:rsid w:val="00830A77"/>
    <w:rsid w:val="00831929"/>
    <w:rsid w:val="008322AF"/>
    <w:rsid w:val="00832429"/>
    <w:rsid w:val="00834A1E"/>
    <w:rsid w:val="00835692"/>
    <w:rsid w:val="00843A4B"/>
    <w:rsid w:val="00844ED2"/>
    <w:rsid w:val="008452C7"/>
    <w:rsid w:val="00845AB0"/>
    <w:rsid w:val="00850E9A"/>
    <w:rsid w:val="00851000"/>
    <w:rsid w:val="00867712"/>
    <w:rsid w:val="00870183"/>
    <w:rsid w:val="00872150"/>
    <w:rsid w:val="008763CB"/>
    <w:rsid w:val="00876C90"/>
    <w:rsid w:val="008770AC"/>
    <w:rsid w:val="00881D97"/>
    <w:rsid w:val="008862E6"/>
    <w:rsid w:val="00894717"/>
    <w:rsid w:val="008958BB"/>
    <w:rsid w:val="008A27C2"/>
    <w:rsid w:val="008A2A60"/>
    <w:rsid w:val="008A4A5A"/>
    <w:rsid w:val="008A4B74"/>
    <w:rsid w:val="008B1E19"/>
    <w:rsid w:val="008C5EE3"/>
    <w:rsid w:val="008C7E9B"/>
    <w:rsid w:val="008D0C57"/>
    <w:rsid w:val="008D371D"/>
    <w:rsid w:val="008E73B1"/>
    <w:rsid w:val="008F7C4F"/>
    <w:rsid w:val="0090276B"/>
    <w:rsid w:val="009067FA"/>
    <w:rsid w:val="00914F0E"/>
    <w:rsid w:val="00915A78"/>
    <w:rsid w:val="00920648"/>
    <w:rsid w:val="009214D3"/>
    <w:rsid w:val="00925597"/>
    <w:rsid w:val="00925BB9"/>
    <w:rsid w:val="00934B0C"/>
    <w:rsid w:val="0093765D"/>
    <w:rsid w:val="00937821"/>
    <w:rsid w:val="00942100"/>
    <w:rsid w:val="00954516"/>
    <w:rsid w:val="00954C1C"/>
    <w:rsid w:val="0095700B"/>
    <w:rsid w:val="009576D9"/>
    <w:rsid w:val="00961914"/>
    <w:rsid w:val="0096306F"/>
    <w:rsid w:val="009701DD"/>
    <w:rsid w:val="00970953"/>
    <w:rsid w:val="009712B3"/>
    <w:rsid w:val="009735D7"/>
    <w:rsid w:val="009769B0"/>
    <w:rsid w:val="00980598"/>
    <w:rsid w:val="009836EB"/>
    <w:rsid w:val="00990815"/>
    <w:rsid w:val="009912B9"/>
    <w:rsid w:val="00992D86"/>
    <w:rsid w:val="009947BE"/>
    <w:rsid w:val="009955CE"/>
    <w:rsid w:val="00995ABC"/>
    <w:rsid w:val="009A0F4E"/>
    <w:rsid w:val="009A43F5"/>
    <w:rsid w:val="009A52B1"/>
    <w:rsid w:val="009A6938"/>
    <w:rsid w:val="009B39C6"/>
    <w:rsid w:val="009B4B83"/>
    <w:rsid w:val="009B72F1"/>
    <w:rsid w:val="009B75C8"/>
    <w:rsid w:val="009C4FD2"/>
    <w:rsid w:val="009C5500"/>
    <w:rsid w:val="009C6347"/>
    <w:rsid w:val="009E5CB9"/>
    <w:rsid w:val="009F071E"/>
    <w:rsid w:val="009F2B22"/>
    <w:rsid w:val="009F7279"/>
    <w:rsid w:val="00A0748D"/>
    <w:rsid w:val="00A07669"/>
    <w:rsid w:val="00A11352"/>
    <w:rsid w:val="00A11F67"/>
    <w:rsid w:val="00A127F1"/>
    <w:rsid w:val="00A1518F"/>
    <w:rsid w:val="00A161C0"/>
    <w:rsid w:val="00A16B33"/>
    <w:rsid w:val="00A170F1"/>
    <w:rsid w:val="00A345D6"/>
    <w:rsid w:val="00A40EB3"/>
    <w:rsid w:val="00A432E3"/>
    <w:rsid w:val="00A43E18"/>
    <w:rsid w:val="00A44149"/>
    <w:rsid w:val="00A5159E"/>
    <w:rsid w:val="00A546BA"/>
    <w:rsid w:val="00A55074"/>
    <w:rsid w:val="00A55966"/>
    <w:rsid w:val="00A66275"/>
    <w:rsid w:val="00A67FEF"/>
    <w:rsid w:val="00A70CBA"/>
    <w:rsid w:val="00A75DA2"/>
    <w:rsid w:val="00A760AD"/>
    <w:rsid w:val="00A765CE"/>
    <w:rsid w:val="00A81256"/>
    <w:rsid w:val="00A828B7"/>
    <w:rsid w:val="00A94942"/>
    <w:rsid w:val="00AA3163"/>
    <w:rsid w:val="00AA4095"/>
    <w:rsid w:val="00AB06A8"/>
    <w:rsid w:val="00AB222C"/>
    <w:rsid w:val="00AB352D"/>
    <w:rsid w:val="00AB45B2"/>
    <w:rsid w:val="00AB48EC"/>
    <w:rsid w:val="00AB786E"/>
    <w:rsid w:val="00AD2BA6"/>
    <w:rsid w:val="00AD3485"/>
    <w:rsid w:val="00AE2BF1"/>
    <w:rsid w:val="00AE7BBE"/>
    <w:rsid w:val="00AE7F3F"/>
    <w:rsid w:val="00AF1609"/>
    <w:rsid w:val="00AF675F"/>
    <w:rsid w:val="00B03471"/>
    <w:rsid w:val="00B06C0D"/>
    <w:rsid w:val="00B1318B"/>
    <w:rsid w:val="00B17B90"/>
    <w:rsid w:val="00B232FF"/>
    <w:rsid w:val="00B26AD4"/>
    <w:rsid w:val="00B277EE"/>
    <w:rsid w:val="00B32183"/>
    <w:rsid w:val="00B42BC9"/>
    <w:rsid w:val="00B4691C"/>
    <w:rsid w:val="00B53CC4"/>
    <w:rsid w:val="00B55398"/>
    <w:rsid w:val="00B5559D"/>
    <w:rsid w:val="00B564A6"/>
    <w:rsid w:val="00B63E50"/>
    <w:rsid w:val="00B6647D"/>
    <w:rsid w:val="00B6749A"/>
    <w:rsid w:val="00B676A5"/>
    <w:rsid w:val="00B67E9D"/>
    <w:rsid w:val="00B73A67"/>
    <w:rsid w:val="00B7614A"/>
    <w:rsid w:val="00B76209"/>
    <w:rsid w:val="00B81E08"/>
    <w:rsid w:val="00B842F2"/>
    <w:rsid w:val="00B90BE7"/>
    <w:rsid w:val="00B9185D"/>
    <w:rsid w:val="00B9625A"/>
    <w:rsid w:val="00B9740D"/>
    <w:rsid w:val="00BA2DEC"/>
    <w:rsid w:val="00BB2F70"/>
    <w:rsid w:val="00BB6F3C"/>
    <w:rsid w:val="00BC17F1"/>
    <w:rsid w:val="00BC488E"/>
    <w:rsid w:val="00BC5EA6"/>
    <w:rsid w:val="00BC7A12"/>
    <w:rsid w:val="00BD11C3"/>
    <w:rsid w:val="00BD11DC"/>
    <w:rsid w:val="00BD47CA"/>
    <w:rsid w:val="00BD4D67"/>
    <w:rsid w:val="00BD5CDA"/>
    <w:rsid w:val="00BE716D"/>
    <w:rsid w:val="00BF14B7"/>
    <w:rsid w:val="00BF27C4"/>
    <w:rsid w:val="00BF2DDE"/>
    <w:rsid w:val="00BF3973"/>
    <w:rsid w:val="00BF6589"/>
    <w:rsid w:val="00C020F6"/>
    <w:rsid w:val="00C02649"/>
    <w:rsid w:val="00C105A0"/>
    <w:rsid w:val="00C20B52"/>
    <w:rsid w:val="00C226CB"/>
    <w:rsid w:val="00C237E9"/>
    <w:rsid w:val="00C2683F"/>
    <w:rsid w:val="00C301E9"/>
    <w:rsid w:val="00C4020C"/>
    <w:rsid w:val="00C40CAA"/>
    <w:rsid w:val="00C55A03"/>
    <w:rsid w:val="00C56366"/>
    <w:rsid w:val="00C57ABA"/>
    <w:rsid w:val="00C60079"/>
    <w:rsid w:val="00C62510"/>
    <w:rsid w:val="00C63E66"/>
    <w:rsid w:val="00C65BC6"/>
    <w:rsid w:val="00C671BA"/>
    <w:rsid w:val="00C73918"/>
    <w:rsid w:val="00C73AE3"/>
    <w:rsid w:val="00C73CA5"/>
    <w:rsid w:val="00C77D5D"/>
    <w:rsid w:val="00C82F8B"/>
    <w:rsid w:val="00C86035"/>
    <w:rsid w:val="00C92E40"/>
    <w:rsid w:val="00CA03D6"/>
    <w:rsid w:val="00CA2DDD"/>
    <w:rsid w:val="00CA2FA4"/>
    <w:rsid w:val="00CA7310"/>
    <w:rsid w:val="00CA76F8"/>
    <w:rsid w:val="00CA7887"/>
    <w:rsid w:val="00CB1382"/>
    <w:rsid w:val="00CB1FC5"/>
    <w:rsid w:val="00CB4486"/>
    <w:rsid w:val="00CC17F7"/>
    <w:rsid w:val="00CC256B"/>
    <w:rsid w:val="00CC3C21"/>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589"/>
    <w:rsid w:val="00D50819"/>
    <w:rsid w:val="00D50D26"/>
    <w:rsid w:val="00D52072"/>
    <w:rsid w:val="00D54B95"/>
    <w:rsid w:val="00D55E2F"/>
    <w:rsid w:val="00D7131B"/>
    <w:rsid w:val="00D7270B"/>
    <w:rsid w:val="00D75C8F"/>
    <w:rsid w:val="00D84F45"/>
    <w:rsid w:val="00D85233"/>
    <w:rsid w:val="00D85C5E"/>
    <w:rsid w:val="00D86BA3"/>
    <w:rsid w:val="00D921F7"/>
    <w:rsid w:val="00D94859"/>
    <w:rsid w:val="00DB33FD"/>
    <w:rsid w:val="00DB3AC7"/>
    <w:rsid w:val="00DB3C3D"/>
    <w:rsid w:val="00DB742C"/>
    <w:rsid w:val="00DC4161"/>
    <w:rsid w:val="00DC4976"/>
    <w:rsid w:val="00DD032B"/>
    <w:rsid w:val="00DD2952"/>
    <w:rsid w:val="00DE0162"/>
    <w:rsid w:val="00DE202D"/>
    <w:rsid w:val="00DF5389"/>
    <w:rsid w:val="00E00D1E"/>
    <w:rsid w:val="00E03197"/>
    <w:rsid w:val="00E034EE"/>
    <w:rsid w:val="00E060E2"/>
    <w:rsid w:val="00E144B8"/>
    <w:rsid w:val="00E24F5B"/>
    <w:rsid w:val="00E30A8F"/>
    <w:rsid w:val="00E34907"/>
    <w:rsid w:val="00E35785"/>
    <w:rsid w:val="00E3641B"/>
    <w:rsid w:val="00E37BFD"/>
    <w:rsid w:val="00E40571"/>
    <w:rsid w:val="00E405FA"/>
    <w:rsid w:val="00E410CF"/>
    <w:rsid w:val="00E425AC"/>
    <w:rsid w:val="00E43E0D"/>
    <w:rsid w:val="00E55116"/>
    <w:rsid w:val="00E552A6"/>
    <w:rsid w:val="00E601F6"/>
    <w:rsid w:val="00E675E1"/>
    <w:rsid w:val="00E676F1"/>
    <w:rsid w:val="00E67E4F"/>
    <w:rsid w:val="00E7008F"/>
    <w:rsid w:val="00E7210B"/>
    <w:rsid w:val="00E731B3"/>
    <w:rsid w:val="00E73411"/>
    <w:rsid w:val="00E81DC1"/>
    <w:rsid w:val="00E8527C"/>
    <w:rsid w:val="00E91076"/>
    <w:rsid w:val="00E93AF4"/>
    <w:rsid w:val="00E94198"/>
    <w:rsid w:val="00E95376"/>
    <w:rsid w:val="00EA38B1"/>
    <w:rsid w:val="00EC033A"/>
    <w:rsid w:val="00EC48EF"/>
    <w:rsid w:val="00EC4FBF"/>
    <w:rsid w:val="00EC535B"/>
    <w:rsid w:val="00EC7F2A"/>
    <w:rsid w:val="00ED4359"/>
    <w:rsid w:val="00ED4C6F"/>
    <w:rsid w:val="00EE3159"/>
    <w:rsid w:val="00EE6B47"/>
    <w:rsid w:val="00EF5E85"/>
    <w:rsid w:val="00F010D2"/>
    <w:rsid w:val="00F013B8"/>
    <w:rsid w:val="00F0146A"/>
    <w:rsid w:val="00F01F78"/>
    <w:rsid w:val="00F032B8"/>
    <w:rsid w:val="00F039BB"/>
    <w:rsid w:val="00F07ADC"/>
    <w:rsid w:val="00F11315"/>
    <w:rsid w:val="00F11322"/>
    <w:rsid w:val="00F118C0"/>
    <w:rsid w:val="00F15348"/>
    <w:rsid w:val="00F20395"/>
    <w:rsid w:val="00F21864"/>
    <w:rsid w:val="00F22504"/>
    <w:rsid w:val="00F27A65"/>
    <w:rsid w:val="00F31A69"/>
    <w:rsid w:val="00F411C2"/>
    <w:rsid w:val="00F4691A"/>
    <w:rsid w:val="00F51C3A"/>
    <w:rsid w:val="00F52130"/>
    <w:rsid w:val="00F60965"/>
    <w:rsid w:val="00F60A30"/>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3A90"/>
    <w:rsid w:val="00FD40BB"/>
    <w:rsid w:val="00FE3673"/>
    <w:rsid w:val="00FE6565"/>
    <w:rsid w:val="00FF0E56"/>
    <w:rsid w:val="00FF1500"/>
    <w:rsid w:val="00FF2F48"/>
    <w:rsid w:val="00FF3080"/>
    <w:rsid w:val="00FF4ACA"/>
    <w:rsid w:val="00FF51A3"/>
    <w:rsid w:val="00FF62E0"/>
    <w:rsid w:val="01616169"/>
    <w:rsid w:val="01DF624F"/>
    <w:rsid w:val="05022463"/>
    <w:rsid w:val="077F43B3"/>
    <w:rsid w:val="09265ED9"/>
    <w:rsid w:val="0C656D19"/>
    <w:rsid w:val="0F64150A"/>
    <w:rsid w:val="0FB464C2"/>
    <w:rsid w:val="13443F37"/>
    <w:rsid w:val="17591B70"/>
    <w:rsid w:val="17D654AF"/>
    <w:rsid w:val="195F3480"/>
    <w:rsid w:val="196B55C7"/>
    <w:rsid w:val="19962C07"/>
    <w:rsid w:val="1BEF2DF2"/>
    <w:rsid w:val="1CA64C9C"/>
    <w:rsid w:val="1D5E3A3C"/>
    <w:rsid w:val="1E2702D2"/>
    <w:rsid w:val="1E991F2C"/>
    <w:rsid w:val="1F077B62"/>
    <w:rsid w:val="1F4122F9"/>
    <w:rsid w:val="1FA46BD3"/>
    <w:rsid w:val="202F79A2"/>
    <w:rsid w:val="21BD1457"/>
    <w:rsid w:val="21EF135E"/>
    <w:rsid w:val="22891C74"/>
    <w:rsid w:val="22DF0D97"/>
    <w:rsid w:val="261C4494"/>
    <w:rsid w:val="293159F3"/>
    <w:rsid w:val="29920994"/>
    <w:rsid w:val="2A151926"/>
    <w:rsid w:val="2B6A5CA2"/>
    <w:rsid w:val="2B6B71BF"/>
    <w:rsid w:val="2FDB716E"/>
    <w:rsid w:val="305675B0"/>
    <w:rsid w:val="3073521F"/>
    <w:rsid w:val="3191788B"/>
    <w:rsid w:val="331665FC"/>
    <w:rsid w:val="34140EA1"/>
    <w:rsid w:val="34A85964"/>
    <w:rsid w:val="3587586E"/>
    <w:rsid w:val="36A24822"/>
    <w:rsid w:val="38064E37"/>
    <w:rsid w:val="39E7040C"/>
    <w:rsid w:val="3ADA76DA"/>
    <w:rsid w:val="3B3C0CE1"/>
    <w:rsid w:val="3B9E560F"/>
    <w:rsid w:val="3D9020E8"/>
    <w:rsid w:val="3DA20817"/>
    <w:rsid w:val="4041301D"/>
    <w:rsid w:val="40523A4C"/>
    <w:rsid w:val="40BD17EF"/>
    <w:rsid w:val="420E191A"/>
    <w:rsid w:val="43A833B4"/>
    <w:rsid w:val="480B3C03"/>
    <w:rsid w:val="4B636F99"/>
    <w:rsid w:val="4BBC5C4E"/>
    <w:rsid w:val="4E867CD5"/>
    <w:rsid w:val="52B17225"/>
    <w:rsid w:val="52EC166D"/>
    <w:rsid w:val="53717C06"/>
    <w:rsid w:val="563433C5"/>
    <w:rsid w:val="57E22CA5"/>
    <w:rsid w:val="59CE22C7"/>
    <w:rsid w:val="59D050BB"/>
    <w:rsid w:val="59F25A39"/>
    <w:rsid w:val="5DA30B5A"/>
    <w:rsid w:val="61BC315C"/>
    <w:rsid w:val="633A5960"/>
    <w:rsid w:val="65C87292"/>
    <w:rsid w:val="66144017"/>
    <w:rsid w:val="663E522D"/>
    <w:rsid w:val="6BA75B7B"/>
    <w:rsid w:val="6C8B34FC"/>
    <w:rsid w:val="71155C82"/>
    <w:rsid w:val="717F4C96"/>
    <w:rsid w:val="71C97C3F"/>
    <w:rsid w:val="74FA7E4E"/>
    <w:rsid w:val="79154C3B"/>
    <w:rsid w:val="7C444F7A"/>
    <w:rsid w:val="7DC14075"/>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semiHidden/>
    <w:unhideWhenUsed/>
    <w:uiPriority w:val="99"/>
    <w:pPr>
      <w:spacing w:after="120"/>
    </w:pPr>
  </w:style>
  <w:style w:type="paragraph" w:styleId="7">
    <w:name w:val="Block Text"/>
    <w:basedOn w:val="1"/>
    <w:uiPriority w:val="99"/>
    <w:pPr>
      <w:autoSpaceDE w:val="0"/>
      <w:autoSpaceDN w:val="0"/>
      <w:adjustRightInd w:val="0"/>
      <w:ind w:left="256" w:right="6" w:firstLine="624" w:firstLineChars="200"/>
    </w:pPr>
    <w:rPr>
      <w:rFonts w:eastAsia="仿宋_GB2312"/>
      <w:kern w:val="0"/>
      <w:sz w:val="28"/>
      <w:szCs w:val="20"/>
    </w:rPr>
  </w:style>
  <w:style w:type="paragraph" w:styleId="8">
    <w:name w:val="Plain Text"/>
    <w:basedOn w:val="1"/>
    <w:link w:val="45"/>
    <w:qFormat/>
    <w:uiPriority w:val="0"/>
    <w:rPr>
      <w:rFonts w:ascii="宋体" w:hAnsi="Courier New"/>
      <w:szCs w:val="20"/>
    </w:rPr>
  </w:style>
  <w:style w:type="paragraph" w:styleId="9">
    <w:name w:val="Date"/>
    <w:basedOn w:val="1"/>
    <w:next w:val="1"/>
    <w:link w:val="43"/>
    <w:semiHidden/>
    <w:unhideWhenUsed/>
    <w:qFormat/>
    <w:uiPriority w:val="99"/>
    <w:pPr>
      <w:ind w:left="100" w:leftChars="2500"/>
    </w:pPr>
  </w:style>
  <w:style w:type="paragraph" w:styleId="10">
    <w:name w:val="Balloon Text"/>
    <w:basedOn w:val="1"/>
    <w:link w:val="35"/>
    <w:semiHidden/>
    <w:unhideWhenUsed/>
    <w:qFormat/>
    <w:uiPriority w:val="99"/>
    <w:rPr>
      <w:sz w:val="18"/>
      <w:szCs w:val="18"/>
    </w:rPr>
  </w:style>
  <w:style w:type="paragraph" w:styleId="11">
    <w:name w:val="footer"/>
    <w:basedOn w:val="1"/>
    <w:link w:val="22"/>
    <w:qFormat/>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2"/>
    <w:link w:val="21"/>
    <w:qFormat/>
    <w:uiPriority w:val="0"/>
    <w:pPr>
      <w:ind w:firstLine="420" w:firstLineChars="100"/>
    </w:pPr>
    <w:rPr>
      <w:rFonts w:eastAsia="仿宋_GB2312"/>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rPr>
  </w:style>
  <w:style w:type="character" w:customStyle="1" w:styleId="20">
    <w:name w:val="正文文本 Char"/>
    <w:basedOn w:val="17"/>
    <w:link w:val="2"/>
    <w:semiHidden/>
    <w:qFormat/>
    <w:uiPriority w:val="99"/>
    <w:rPr>
      <w:rFonts w:ascii="Times New Roman" w:hAnsi="Times New Roman" w:eastAsia="宋体" w:cs="Times New Roman"/>
      <w:szCs w:val="24"/>
    </w:rPr>
  </w:style>
  <w:style w:type="character" w:customStyle="1" w:styleId="21">
    <w:name w:val="正文首行缩进 Char"/>
    <w:basedOn w:val="20"/>
    <w:link w:val="14"/>
    <w:qFormat/>
    <w:uiPriority w:val="0"/>
    <w:rPr>
      <w:rFonts w:ascii="Times New Roman" w:hAnsi="Times New Roman" w:eastAsia="仿宋_GB2312" w:cs="Times New Roman"/>
      <w:szCs w:val="20"/>
    </w:rPr>
  </w:style>
  <w:style w:type="character" w:customStyle="1" w:styleId="22">
    <w:name w:val="页脚 Char"/>
    <w:basedOn w:val="17"/>
    <w:link w:val="11"/>
    <w:qFormat/>
    <w:uiPriority w:val="0"/>
    <w:rPr>
      <w:rFonts w:ascii="Times New Roman" w:hAnsi="Times New Roman" w:eastAsia="宋体" w:cs="Times New Roman"/>
      <w:kern w:val="0"/>
      <w:sz w:val="18"/>
      <w:szCs w:val="20"/>
    </w:rPr>
  </w:style>
  <w:style w:type="paragraph" w:customStyle="1" w:styleId="23">
    <w:name w:val="样式 标题 3h3H3sect1.2.3 + 五号 段前: 6 磅 段后: 6 磅 行距: 单倍行距"/>
    <w:basedOn w:val="5"/>
    <w:qFormat/>
    <w:uiPriority w:val="0"/>
    <w:pPr>
      <w:numPr>
        <w:ilvl w:val="2"/>
        <w:numId w:val="1"/>
      </w:numPr>
      <w:adjustRightInd w:val="0"/>
      <w:spacing w:before="120" w:after="120" w:line="240" w:lineRule="auto"/>
      <w:jc w:val="left"/>
    </w:pPr>
    <w:rPr>
      <w:kern w:val="0"/>
      <w:sz w:val="21"/>
      <w:szCs w:val="20"/>
    </w:rPr>
  </w:style>
  <w:style w:type="paragraph" w:customStyle="1" w:styleId="24">
    <w:name w:val="样式 标题 2 + 宋体 五号 行距: 单倍行距"/>
    <w:basedOn w:val="4"/>
    <w:qFormat/>
    <w:uiPriority w:val="0"/>
    <w:pPr>
      <w:adjustRightInd w:val="0"/>
      <w:spacing w:line="240" w:lineRule="auto"/>
      <w:jc w:val="left"/>
    </w:pPr>
    <w:rPr>
      <w:rFonts w:ascii="宋体" w:hAnsi="宋体" w:eastAsia="宋体" w:cs="Times New Roman"/>
      <w:kern w:val="0"/>
      <w:sz w:val="21"/>
      <w:szCs w:val="20"/>
    </w:rPr>
  </w:style>
  <w:style w:type="paragraph" w:customStyle="1" w:styleId="25">
    <w:name w:val="样式1"/>
    <w:basedOn w:val="1"/>
    <w:qFormat/>
    <w:uiPriority w:val="0"/>
    <w:pPr>
      <w:numPr>
        <w:ilvl w:val="0"/>
        <w:numId w:val="2"/>
      </w:numPr>
      <w:adjustRightInd w:val="0"/>
    </w:pPr>
    <w:rPr>
      <w:rFonts w:ascii="宋体" w:hAnsi="宋体"/>
      <w:kern w:val="0"/>
      <w:szCs w:val="21"/>
    </w:rPr>
  </w:style>
  <w:style w:type="paragraph" w:customStyle="1" w:styleId="26">
    <w:name w:val="样式 标题 4 + 段前: 5 磅 段后: 5 磅 行距: 单倍行距"/>
    <w:basedOn w:val="6"/>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27">
    <w:name w:val="样式 样式 样式 样式 标题 2 + 宋体 五号 非加粗 黑色 + 段前: 6 磅 段后: 0 磅 行距: 单倍行距 + 段前:..."/>
    <w:basedOn w:val="1"/>
    <w:autoRedefine/>
    <w:qFormat/>
    <w:uiPriority w:val="0"/>
    <w:pPr>
      <w:keepNext/>
      <w:keepLines/>
      <w:adjustRightInd w:val="0"/>
      <w:spacing w:before="240"/>
      <w:jc w:val="left"/>
      <w:outlineLvl w:val="1"/>
    </w:pPr>
    <w:rPr>
      <w:rFonts w:ascii="宋体" w:hAnsi="宋体"/>
      <w:b/>
      <w:bCs/>
      <w:color w:val="000000"/>
      <w:kern w:val="0"/>
      <w:szCs w:val="20"/>
    </w:rPr>
  </w:style>
  <w:style w:type="paragraph" w:customStyle="1" w:styleId="28">
    <w:name w:val="样式 标题 1 + 四号 居中 段前: 12 磅 段后: 12 磅 行距: 单倍行距"/>
    <w:basedOn w:val="3"/>
    <w:qFormat/>
    <w:uiPriority w:val="0"/>
    <w:pPr>
      <w:numPr>
        <w:ilvl w:val="0"/>
        <w:numId w:val="1"/>
      </w:numPr>
      <w:adjustRightInd w:val="0"/>
      <w:spacing w:before="240" w:after="240" w:line="240" w:lineRule="auto"/>
      <w:jc w:val="center"/>
    </w:pPr>
    <w:rPr>
      <w:sz w:val="28"/>
      <w:szCs w:val="20"/>
    </w:rPr>
  </w:style>
  <w:style w:type="paragraph" w:customStyle="1" w:styleId="29">
    <w:name w:val="样式 标题 2 + 宋体 五号 非加粗 黑色"/>
    <w:basedOn w:val="4"/>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0">
    <w:name w:val="样式 宋体 五号 两端对齐 行距: 单倍行距"/>
    <w:basedOn w:val="1"/>
    <w:qFormat/>
    <w:uiPriority w:val="0"/>
    <w:pPr>
      <w:adjustRightInd w:val="0"/>
    </w:pPr>
    <w:rPr>
      <w:rFonts w:ascii="宋体" w:hAnsi="宋体"/>
      <w:kern w:val="0"/>
      <w:szCs w:val="20"/>
    </w:rPr>
  </w:style>
  <w:style w:type="character" w:customStyle="1" w:styleId="31">
    <w:name w:val="标题 3 Char"/>
    <w:basedOn w:val="17"/>
    <w:link w:val="5"/>
    <w:semiHidden/>
    <w:qFormat/>
    <w:uiPriority w:val="9"/>
    <w:rPr>
      <w:rFonts w:ascii="Times New Roman" w:hAnsi="Times New Roman" w:eastAsia="宋体" w:cs="Times New Roman"/>
      <w:b/>
      <w:bCs/>
      <w:sz w:val="32"/>
      <w:szCs w:val="32"/>
    </w:rPr>
  </w:style>
  <w:style w:type="character" w:customStyle="1" w:styleId="32">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33">
    <w:name w:val="标题 4 Char"/>
    <w:basedOn w:val="17"/>
    <w:link w:val="6"/>
    <w:autoRedefine/>
    <w:semiHidden/>
    <w:qFormat/>
    <w:uiPriority w:val="9"/>
    <w:rPr>
      <w:rFonts w:asciiTheme="majorHAnsi" w:hAnsiTheme="majorHAnsi" w:eastAsiaTheme="majorEastAsia" w:cstheme="majorBidi"/>
      <w:b/>
      <w:bCs/>
      <w:sz w:val="28"/>
      <w:szCs w:val="28"/>
    </w:rPr>
  </w:style>
  <w:style w:type="character" w:customStyle="1" w:styleId="34">
    <w:name w:val="标题 1 Char"/>
    <w:basedOn w:val="17"/>
    <w:link w:val="3"/>
    <w:qFormat/>
    <w:uiPriority w:val="9"/>
    <w:rPr>
      <w:rFonts w:ascii="Times New Roman" w:hAnsi="Times New Roman" w:eastAsia="宋体" w:cs="Times New Roman"/>
      <w:b/>
      <w:bCs/>
      <w:kern w:val="44"/>
      <w:sz w:val="44"/>
      <w:szCs w:val="44"/>
    </w:rPr>
  </w:style>
  <w:style w:type="character" w:customStyle="1" w:styleId="35">
    <w:name w:val="批注框文本 Char"/>
    <w:basedOn w:val="17"/>
    <w:link w:val="10"/>
    <w:semiHidden/>
    <w:qFormat/>
    <w:uiPriority w:val="99"/>
    <w:rPr>
      <w:rFonts w:ascii="Times New Roman" w:hAnsi="Times New Roman" w:eastAsia="宋体" w:cs="Times New Roman"/>
      <w:sz w:val="18"/>
      <w:szCs w:val="18"/>
    </w:rPr>
  </w:style>
  <w:style w:type="character" w:customStyle="1" w:styleId="36">
    <w:name w:val="页眉 Char"/>
    <w:basedOn w:val="17"/>
    <w:link w:val="12"/>
    <w:qFormat/>
    <w:uiPriority w:val="99"/>
    <w:rPr>
      <w:rFonts w:ascii="Times New Roman" w:hAnsi="Times New Roman" w:eastAsia="宋体" w:cs="Times New Roman"/>
      <w:sz w:val="18"/>
      <w:szCs w:val="18"/>
    </w:rPr>
  </w:style>
  <w:style w:type="character" w:customStyle="1" w:styleId="37">
    <w:name w:val="font41"/>
    <w:basedOn w:val="17"/>
    <w:qFormat/>
    <w:uiPriority w:val="0"/>
    <w:rPr>
      <w:rFonts w:hint="eastAsia" w:ascii="宋体" w:hAnsi="宋体" w:eastAsia="宋体" w:cs="宋体"/>
      <w:color w:val="000000"/>
      <w:sz w:val="20"/>
      <w:szCs w:val="20"/>
      <w:u w:val="none"/>
    </w:rPr>
  </w:style>
  <w:style w:type="character" w:customStyle="1" w:styleId="38">
    <w:name w:val="font51"/>
    <w:basedOn w:val="17"/>
    <w:qFormat/>
    <w:uiPriority w:val="0"/>
    <w:rPr>
      <w:rFonts w:hint="eastAsia" w:ascii="宋体" w:hAnsi="宋体" w:eastAsia="宋体" w:cs="宋体"/>
      <w:color w:val="000000"/>
      <w:sz w:val="20"/>
      <w:szCs w:val="20"/>
      <w:u w:val="single"/>
    </w:rPr>
  </w:style>
  <w:style w:type="paragraph" w:styleId="39">
    <w:name w:val="List Paragraph"/>
    <w:basedOn w:val="1"/>
    <w:link w:val="42"/>
    <w:qFormat/>
    <w:uiPriority w:val="34"/>
    <w:pPr>
      <w:ind w:firstLine="420" w:firstLineChars="200"/>
    </w:pPr>
  </w:style>
  <w:style w:type="paragraph" w:customStyle="1" w:styleId="4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1">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2">
    <w:name w:val="列出段落 Char"/>
    <w:link w:val="39"/>
    <w:qFormat/>
    <w:uiPriority w:val="0"/>
    <w:rPr>
      <w:kern w:val="2"/>
      <w:sz w:val="21"/>
      <w:szCs w:val="24"/>
    </w:rPr>
  </w:style>
  <w:style w:type="character" w:customStyle="1" w:styleId="43">
    <w:name w:val="日期 Char"/>
    <w:basedOn w:val="17"/>
    <w:link w:val="9"/>
    <w:semiHidden/>
    <w:qFormat/>
    <w:uiPriority w:val="99"/>
    <w:rPr>
      <w:kern w:val="2"/>
      <w:sz w:val="21"/>
      <w:szCs w:val="24"/>
    </w:rPr>
  </w:style>
  <w:style w:type="paragraph" w:customStyle="1" w:styleId="44">
    <w:name w:val="_Style 83"/>
    <w:basedOn w:val="2"/>
    <w:next w:val="14"/>
    <w:qFormat/>
    <w:uiPriority w:val="0"/>
    <w:pPr>
      <w:ind w:firstLine="420" w:firstLineChars="100"/>
    </w:pPr>
    <w:rPr>
      <w:rFonts w:eastAsia="仿宋_GB2312"/>
      <w:szCs w:val="20"/>
    </w:rPr>
  </w:style>
  <w:style w:type="character" w:customStyle="1" w:styleId="45">
    <w:name w:val="纯文本 Char"/>
    <w:basedOn w:val="17"/>
    <w:link w:val="8"/>
    <w:qFormat/>
    <w:uiPriority w:val="0"/>
    <w:rPr>
      <w:rFonts w:ascii="宋体" w:hAnsi="Courier New"/>
      <w:kern w:val="2"/>
      <w:sz w:val="21"/>
    </w:rPr>
  </w:style>
  <w:style w:type="paragraph" w:customStyle="1" w:styleId="46">
    <w:name w:val="null3"/>
    <w:hidden/>
    <w:qFormat/>
    <w:uiPriority w:val="0"/>
    <w:rPr>
      <w:rFonts w:hint="eastAsia" w:asciiTheme="minorHAnsi" w:hAnsiTheme="minorHAnsi" w:eastAsiaTheme="minorEastAsia" w:cstheme="minorBidi"/>
      <w:lang w:val="en-US" w:eastAsia="zh-CN" w:bidi="ar-SA"/>
    </w:rPr>
  </w:style>
  <w:style w:type="paragraph" w:customStyle="1" w:styleId="47">
    <w:name w:val="标准文本"/>
    <w:basedOn w:val="1"/>
    <w:link w:val="48"/>
    <w:autoRedefine/>
    <w:qFormat/>
    <w:uiPriority w:val="0"/>
    <w:pPr>
      <w:widowControl/>
      <w:spacing w:line="360" w:lineRule="auto"/>
      <w:ind w:firstLine="420"/>
      <w:jc w:val="left"/>
    </w:pPr>
    <w:rPr>
      <w:rFonts w:ascii="宋体" w:hAnsi="宋体" w:cs="宋体"/>
      <w:kern w:val="0"/>
      <w:sz w:val="24"/>
    </w:rPr>
  </w:style>
  <w:style w:type="character" w:customStyle="1" w:styleId="48">
    <w:name w:val="标准文本 Char"/>
    <w:link w:val="47"/>
    <w:autoRedefine/>
    <w:qFormat/>
    <w:locked/>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CEB58-A3D5-4302-BC13-C9842BD0F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3345</Words>
  <Characters>19071</Characters>
  <Lines>158</Lines>
  <Paragraphs>44</Paragraphs>
  <TotalTime>19</TotalTime>
  <ScaleCrop>false</ScaleCrop>
  <LinksUpToDate>false</LinksUpToDate>
  <CharactersWithSpaces>22372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2023-07-19T02:33:00Z</dcterms:created>
  <dc:creator>Lenovo</dc:creator>
  <cp:lastModifiedBy>李响</cp:lastModifiedBy>
  <cp:lastPrinted>2020-06-18T09:09:00Z</cp:lastPrinted>
  <dcterms:modified xsi:type="dcterms:W3CDTF">2024-05-18T01:54:36Z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6F6C64F8256D4BB28BF15FCC8A1C10BE</vt:lpwstr>
  </property>
  <property fmtid="{D5CDD505-2E9C-101B-9397-08002B2CF9AE}" pid="4" name="GrammarlyDocumentId">
    <vt:lpwstr>a24ffa2c830c8ecf48d23b9a72498da2ffc85d14e69fad48e7fc983617c1a825</vt:lpwstr>
  </property>
</Properties>
</file>