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华文楷体" w:asciiTheme="minorEastAsia" w:hAnsiTheme="minorEastAsia" w:eastAsiaTheme="minorEastAsia"/>
          <w:b/>
          <w:color w:val="000000" w:themeColor="text1"/>
          <w:sz w:val="52"/>
          <w:szCs w:val="52"/>
        </w:rPr>
      </w:pPr>
    </w:p>
    <w:p>
      <w:pPr>
        <w:jc w:val="center"/>
        <w:rPr>
          <w:rFonts w:cs="华文楷体" w:asciiTheme="minorEastAsia" w:hAnsiTheme="minorEastAsia" w:eastAsiaTheme="minorEastAsia"/>
          <w:b/>
          <w:color w:val="000000" w:themeColor="text1"/>
          <w:sz w:val="32"/>
          <w:szCs w:val="32"/>
        </w:rPr>
      </w:pPr>
      <w:r>
        <w:rPr>
          <w:rFonts w:hint="eastAsia" w:cs="华文楷体" w:asciiTheme="minorEastAsia" w:hAnsiTheme="minorEastAsia" w:eastAsiaTheme="minorEastAsia"/>
          <w:b/>
          <w:color w:val="000000" w:themeColor="text1"/>
          <w:sz w:val="52"/>
          <w:szCs w:val="52"/>
        </w:rPr>
        <w:t>江苏师范大学档案存储设备采购</w:t>
      </w:r>
    </w:p>
    <w:p>
      <w:pPr>
        <w:adjustRightInd w:val="0"/>
        <w:snapToGrid w:val="0"/>
        <w:jc w:val="center"/>
        <w:rPr>
          <w:rFonts w:cs="华文楷体" w:asciiTheme="minorEastAsia" w:hAnsiTheme="minorEastAsia" w:eastAsiaTheme="minorEastAsia"/>
          <w:b/>
          <w:color w:val="000000" w:themeColor="text1"/>
          <w:sz w:val="32"/>
          <w:szCs w:val="32"/>
        </w:rPr>
      </w:pPr>
    </w:p>
    <w:p>
      <w:pPr>
        <w:adjustRightInd w:val="0"/>
        <w:snapToGrid w:val="0"/>
        <w:jc w:val="center"/>
        <w:rPr>
          <w:rFonts w:cs="华文楷体" w:asciiTheme="minorEastAsia" w:hAnsiTheme="minorEastAsia" w:eastAsiaTheme="minorEastAsia"/>
          <w:b/>
          <w:bCs/>
          <w:color w:val="000000" w:themeColor="text1"/>
          <w:sz w:val="32"/>
          <w:szCs w:val="32"/>
          <w:u w:val="single"/>
        </w:rPr>
      </w:pPr>
      <w:r>
        <w:rPr>
          <w:rFonts w:hint="eastAsia" w:cs="华文楷体" w:asciiTheme="minorEastAsia" w:hAnsiTheme="minorEastAsia" w:eastAsiaTheme="minorEastAsia"/>
          <w:b/>
          <w:color w:val="000000" w:themeColor="text1"/>
          <w:sz w:val="32"/>
          <w:szCs w:val="32"/>
        </w:rPr>
        <w:t>(项目编号：2023H13029)</w:t>
      </w:r>
    </w:p>
    <w:p>
      <w:pPr>
        <w:adjustRightInd w:val="0"/>
        <w:snapToGrid w:val="0"/>
        <w:rPr>
          <w:rFonts w:cs="华文楷体" w:asciiTheme="minorEastAsia" w:hAnsiTheme="minorEastAsia" w:eastAsiaTheme="minorEastAsia"/>
          <w:b/>
          <w:color w:val="000000" w:themeColor="text1"/>
          <w:sz w:val="72"/>
          <w:szCs w:val="72"/>
        </w:rPr>
      </w:pP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磋</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商</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文</w:t>
      </w:r>
    </w:p>
    <w:p>
      <w:pPr>
        <w:adjustRightInd w:val="0"/>
        <w:snapToGrid w:val="0"/>
        <w:spacing w:line="276" w:lineRule="auto"/>
        <w:jc w:val="center"/>
        <w:rPr>
          <w:rFonts w:cs="华文楷体" w:asciiTheme="minorEastAsia" w:hAnsiTheme="minorEastAsia" w:eastAsiaTheme="minorEastAsia"/>
          <w:b/>
          <w:color w:val="000000" w:themeColor="text1"/>
          <w:sz w:val="144"/>
          <w:szCs w:val="144"/>
        </w:rPr>
      </w:pPr>
      <w:r>
        <w:rPr>
          <w:rFonts w:hint="eastAsia" w:cs="华文楷体" w:asciiTheme="minorEastAsia" w:hAnsiTheme="minorEastAsia" w:eastAsiaTheme="minorEastAsia"/>
          <w:b/>
          <w:color w:val="000000" w:themeColor="text1"/>
          <w:sz w:val="120"/>
          <w:szCs w:val="120"/>
        </w:rPr>
        <w:t>件</w:t>
      </w:r>
    </w:p>
    <w:p>
      <w:pPr>
        <w:ind w:left="3192" w:leftChars="1520" w:firstLine="6076" w:firstLineChars="1899"/>
        <w:rPr>
          <w:rFonts w:cs="华文楷体" w:asciiTheme="minorEastAsia" w:hAnsiTheme="minorEastAsia" w:eastAsiaTheme="minorEastAsia"/>
          <w:color w:val="000000" w:themeColor="text1"/>
          <w:sz w:val="32"/>
        </w:rPr>
      </w:pPr>
    </w:p>
    <w:p>
      <w:pPr>
        <w:ind w:left="3192" w:leftChars="1520" w:firstLine="6076" w:firstLineChars="1899"/>
        <w:rPr>
          <w:rFonts w:cs="华文楷体" w:asciiTheme="minorEastAsia" w:hAnsiTheme="minorEastAsia" w:eastAsiaTheme="minorEastAsia"/>
          <w:color w:val="000000" w:themeColor="text1"/>
          <w:sz w:val="32"/>
        </w:rPr>
      </w:pPr>
    </w:p>
    <w:p>
      <w:pPr>
        <w:ind w:firstLine="3040" w:firstLineChars="950"/>
        <w:rPr>
          <w:rFonts w:cs="华文楷体" w:asciiTheme="minorEastAsia" w:hAnsiTheme="minorEastAsia" w:eastAsiaTheme="minorEastAsia"/>
          <w:color w:val="000000" w:themeColor="text1"/>
          <w:sz w:val="32"/>
        </w:rPr>
      </w:pPr>
      <w:r>
        <w:rPr>
          <w:rFonts w:cs="华文楷体" w:asciiTheme="minorEastAsia" w:hAnsiTheme="minorEastAsia" w:eastAsiaTheme="minorEastAsia"/>
          <w:color w:val="000000" w:themeColor="text1"/>
          <w:sz w:val="32"/>
        </w:rPr>
        <w:t>江苏师范大学招标</w:t>
      </w:r>
      <w:r>
        <w:rPr>
          <w:rFonts w:hint="eastAsia" w:cs="华文楷体" w:asciiTheme="minorEastAsia" w:hAnsiTheme="minorEastAsia" w:eastAsiaTheme="minorEastAsia"/>
          <w:color w:val="000000" w:themeColor="text1"/>
          <w:sz w:val="32"/>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rPr>
      </w:pPr>
      <w:r>
        <w:rPr>
          <w:rFonts w:hint="eastAsia" w:cs="华文楷体" w:asciiTheme="minorEastAsia" w:hAnsiTheme="minorEastAsia" w:eastAsiaTheme="minorEastAsia"/>
          <w:color w:val="000000" w:themeColor="text1"/>
          <w:sz w:val="32"/>
          <w:shd w:val="clear" w:color="auto" w:fill="FFFFFF" w:themeFill="background1"/>
        </w:rPr>
        <w:t>2023年</w:t>
      </w:r>
      <w:r>
        <w:rPr>
          <w:rFonts w:hint="eastAsia" w:cs="华文楷体" w:asciiTheme="minorEastAsia" w:hAnsiTheme="minorEastAsia" w:eastAsiaTheme="minorEastAsia"/>
          <w:color w:val="000000" w:themeColor="text1"/>
          <w:sz w:val="32"/>
          <w:shd w:val="clear" w:color="auto" w:fill="FFFFFF" w:themeFill="background1"/>
          <w:lang w:val="en-US" w:eastAsia="zh-CN"/>
        </w:rPr>
        <w:t>7</w:t>
      </w:r>
      <w:r>
        <w:rPr>
          <w:rFonts w:hint="eastAsia" w:cs="华文楷体" w:asciiTheme="minorEastAsia" w:hAnsiTheme="minorEastAsia" w:eastAsiaTheme="minorEastAsia"/>
          <w:color w:val="000000" w:themeColor="text1"/>
          <w:sz w:val="32"/>
          <w:shd w:val="clear" w:color="auto" w:fill="FFFFFF" w:themeFill="background1"/>
        </w:rPr>
        <w:t>月</w:t>
      </w:r>
      <w:r>
        <w:rPr>
          <w:rFonts w:hint="eastAsia" w:cs="华文楷体" w:asciiTheme="minorEastAsia" w:hAnsiTheme="minorEastAsia" w:eastAsiaTheme="minorEastAsia"/>
          <w:color w:val="000000" w:themeColor="text1"/>
          <w:sz w:val="32"/>
          <w:shd w:val="clear" w:color="auto" w:fill="FFFFFF" w:themeFill="background1"/>
          <w:lang w:val="en-US" w:eastAsia="zh-CN"/>
        </w:rPr>
        <w:t>1</w:t>
      </w:r>
      <w:r>
        <w:rPr>
          <w:rFonts w:hint="eastAsia" w:cs="华文楷体" w:asciiTheme="minorEastAsia" w:hAnsiTheme="minorEastAsia" w:eastAsiaTheme="minorEastAsia"/>
          <w:color w:val="000000" w:themeColor="text1"/>
          <w:sz w:val="32"/>
          <w:shd w:val="clear" w:color="auto" w:fill="FFFFFF" w:themeFill="background1"/>
        </w:rPr>
        <w:t>日</w:t>
      </w:r>
    </w:p>
    <w:p>
      <w:pPr>
        <w:ind w:firstLine="3520" w:firstLineChars="1100"/>
        <w:rPr>
          <w:rFonts w:cs="华文楷体" w:asciiTheme="minorEastAsia" w:hAnsiTheme="minorEastAsia" w:eastAsiaTheme="minorEastAsia"/>
          <w:color w:val="000000" w:themeColor="text1"/>
          <w:sz w:val="32"/>
          <w:shd w:val="clear" w:color="auto" w:fill="FFC000"/>
        </w:rPr>
      </w:pPr>
    </w:p>
    <w:p>
      <w:pPr>
        <w:pStyle w:val="27"/>
        <w:numPr>
          <w:ilvl w:val="0"/>
          <w:numId w:val="0"/>
        </w:numPr>
        <w:spacing w:before="0" w:after="0" w:line="400" w:lineRule="exact"/>
        <w:outlineLvl w:val="9"/>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第一章    总 则</w:t>
      </w:r>
    </w:p>
    <w:p>
      <w:pPr>
        <w:pStyle w:val="26"/>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rPr>
      </w:pPr>
      <w:r>
        <w:rPr>
          <w:rFonts w:hint="eastAsia" w:cs="华文楷体" w:asciiTheme="minorEastAsia" w:hAnsiTheme="minorEastAsia" w:eastAsiaTheme="minorEastAsia"/>
          <w:bCs w:val="0"/>
          <w:color w:val="000000" w:themeColor="text1"/>
          <w:sz w:val="24"/>
          <w:szCs w:val="24"/>
        </w:rPr>
        <w:t>一、磋商文件</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pPr>
        <w:pStyle w:val="24"/>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2.磋商文件的澄清</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投标人如对采购文件有疑问要求澄清的，可在2023年</w:t>
      </w:r>
      <w:r>
        <w:rPr>
          <w:rFonts w:hint="eastAsia" w:cs="华文楷体" w:asciiTheme="minorEastAsia" w:hAnsiTheme="minorEastAsia" w:eastAsiaTheme="minorEastAsia"/>
          <w:color w:val="000000" w:themeColor="text1"/>
          <w:sz w:val="24"/>
          <w:szCs w:val="24"/>
          <w:lang w:val="en-US" w:eastAsia="zh-CN"/>
        </w:rPr>
        <w:t>7</w:t>
      </w:r>
      <w:r>
        <w:rPr>
          <w:rFonts w:hint="eastAsia" w:cs="华文楷体" w:asciiTheme="minorEastAsia" w:hAnsiTheme="minorEastAsia" w:eastAsiaTheme="minorEastAsia"/>
          <w:color w:val="000000" w:themeColor="text1"/>
          <w:sz w:val="24"/>
          <w:szCs w:val="24"/>
        </w:rPr>
        <w:t>月</w:t>
      </w:r>
      <w:r>
        <w:rPr>
          <w:rFonts w:hint="eastAsia" w:cs="华文楷体" w:asciiTheme="minorEastAsia" w:hAnsiTheme="minorEastAsia" w:eastAsiaTheme="minorEastAsia"/>
          <w:color w:val="000000" w:themeColor="text1"/>
          <w:sz w:val="24"/>
          <w:szCs w:val="24"/>
          <w:lang w:val="en-US" w:eastAsia="zh-CN"/>
        </w:rPr>
        <w:t>16</w:t>
      </w:r>
      <w:r>
        <w:rPr>
          <w:rFonts w:hint="eastAsia" w:cs="华文楷体" w:asciiTheme="minorEastAsia" w:hAnsiTheme="minorEastAsia" w:eastAsiaTheme="minorEastAsia"/>
          <w:color w:val="000000" w:themeColor="text1"/>
          <w:sz w:val="24"/>
          <w:szCs w:val="24"/>
        </w:rPr>
        <w:t>日16:00前以书面形式或传真方式递交到我校招标办（澄清函需加盖投标人公章），同时将电子版发送至招标办邮箱zbb@jsnu.edu.cn（电子版包括：澄清函图片格式的扫描件及澄清函内容对应的word文档）。澄清要求，逾期将不再受理。</w:t>
      </w:r>
    </w:p>
    <w:p>
      <w:pPr>
        <w:pStyle w:val="24"/>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3.磋商文件的修改</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3.1在投标截止期5日以前任何时候，采购人无论出于何种原因，均可对采购文件用补充文件的方式进行修改。</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3.2对采购文件的修改，将通过</w:t>
      </w:r>
      <w:r>
        <w:rPr>
          <w:rFonts w:hint="eastAsia" w:cs="华文楷体" w:asciiTheme="minorEastAsia" w:hAnsiTheme="minorEastAsia" w:eastAsiaTheme="minorEastAsia"/>
          <w:color w:val="000000" w:themeColor="text1"/>
          <w:kern w:val="2"/>
          <w:sz w:val="24"/>
          <w:szCs w:val="24"/>
        </w:rPr>
        <w:t>“江苏师范大学招投标网”（http://ztbb.jsnu.edu.cn/）发布</w:t>
      </w:r>
      <w:r>
        <w:rPr>
          <w:rFonts w:hint="eastAsia" w:cs="华文楷体" w:asciiTheme="minorEastAsia" w:hAnsiTheme="minorEastAsia" w:eastAsiaTheme="minorEastAsia"/>
          <w:color w:val="000000" w:themeColor="text1"/>
          <w:sz w:val="24"/>
          <w:szCs w:val="24"/>
        </w:rPr>
        <w:t>公告。补充文件将作为采购文件的组成部分，对所有领取了采购文件的投标人均具有约束力。</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3.3为使投标人有足够的时间按采购文件的修改要求考虑修正投标文件，采购人可酌情推迟投标日期，并将具体变更情况通过</w:t>
      </w:r>
      <w:r>
        <w:rPr>
          <w:rFonts w:hint="eastAsia" w:cs="华文楷体" w:asciiTheme="minorEastAsia" w:hAnsiTheme="minorEastAsia" w:eastAsiaTheme="minorEastAsia"/>
          <w:color w:val="000000" w:themeColor="text1"/>
          <w:kern w:val="2"/>
          <w:sz w:val="24"/>
          <w:szCs w:val="24"/>
        </w:rPr>
        <w:t xml:space="preserve"> “江苏师范大学招投标网”</w:t>
      </w:r>
      <w:r>
        <w:rPr>
          <w:rFonts w:hint="eastAsia" w:cs="华文楷体" w:asciiTheme="minorEastAsia" w:hAnsiTheme="minorEastAsia" w:eastAsiaTheme="minorEastAsia"/>
          <w:color w:val="000000" w:themeColor="text1"/>
          <w:sz w:val="24"/>
          <w:szCs w:val="24"/>
        </w:rPr>
        <w:t>公告。</w:t>
      </w:r>
    </w:p>
    <w:p>
      <w:pPr>
        <w:pStyle w:val="24"/>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rPr>
        <w:t>4.</w:t>
      </w:r>
      <w:r>
        <w:rPr>
          <w:rFonts w:hint="eastAsia" w:cs="华文楷体" w:asciiTheme="minorEastAsia" w:hAnsiTheme="minorEastAsia" w:eastAsiaTheme="minorEastAsia"/>
          <w:b/>
          <w:sz w:val="24"/>
          <w:szCs w:val="24"/>
        </w:rPr>
        <w:t xml:space="preserve"> 通知</w:t>
      </w:r>
    </w:p>
    <w:p>
      <w:pPr>
        <w:pStyle w:val="24"/>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sz w:val="24"/>
          <w:szCs w:val="24"/>
        </w:rPr>
        <w:t>对与本项目有关的通知，采购人将通过 “江苏师范大学招投标网”发布公告，请投标</w:t>
      </w:r>
      <w:r>
        <w:rPr>
          <w:rFonts w:hint="eastAsia" w:cs="华文楷体" w:asciiTheme="minorEastAsia" w:hAnsiTheme="minorEastAsia" w:eastAsiaTheme="minorEastAsia"/>
          <w:sz w:val="24"/>
          <w:szCs w:val="24"/>
          <w:shd w:val="clear" w:color="auto" w:fill="FFFFFF" w:themeFill="background1"/>
        </w:rPr>
        <w:t>人自行关注。</w:t>
      </w:r>
    </w:p>
    <w:p>
      <w:pPr>
        <w:pStyle w:val="24"/>
        <w:numPr>
          <w:ilvl w:val="0"/>
          <w:numId w:val="0"/>
        </w:numPr>
        <w:spacing w:line="340" w:lineRule="exact"/>
        <w:ind w:firstLine="482" w:firstLineChars="200"/>
        <w:rPr>
          <w:rFonts w:cs="华文楷体" w:asciiTheme="minorEastAsia" w:hAnsiTheme="minorEastAsia" w:eastAsiaTheme="minorEastAsia"/>
          <w:bCs/>
          <w:sz w:val="24"/>
          <w:szCs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r>
        <w:rPr>
          <w:rFonts w:hint="eastAsia" w:cs="华文楷体" w:asciiTheme="minorEastAsia" w:hAnsiTheme="minorEastAsia" w:eastAsiaTheme="minorEastAsia"/>
          <w:b w:val="0"/>
          <w:bCs w:val="0"/>
          <w:sz w:val="24"/>
          <w:szCs w:val="24"/>
          <w:shd w:val="clear" w:color="auto" w:fill="FFFFFF" w:themeFill="background1"/>
        </w:rPr>
        <w:t>设备验收合格后支付合同总额的90%，如无质量与售后服务等方面问题，余款半年内一次性付清。</w:t>
      </w:r>
    </w:p>
    <w:p>
      <w:pPr>
        <w:pStyle w:val="24"/>
        <w:numPr>
          <w:ilvl w:val="0"/>
          <w:numId w:val="0"/>
        </w:numPr>
        <w:spacing w:line="340" w:lineRule="exact"/>
        <w:ind w:left="701" w:leftChars="228" w:hanging="222" w:hangingChars="92"/>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rPr>
        <w:t>6.供货期：</w:t>
      </w:r>
      <w:r>
        <w:rPr>
          <w:rFonts w:hint="eastAsia" w:cs="华文楷体" w:asciiTheme="minorEastAsia" w:hAnsiTheme="minorEastAsia" w:eastAsiaTheme="minorEastAsia"/>
          <w:b/>
          <w:bCs/>
          <w:sz w:val="24"/>
          <w:szCs w:val="24"/>
          <w:shd w:val="clear" w:color="auto" w:fill="FFFFFF" w:themeFill="background1"/>
        </w:rPr>
        <w:t>自合同签订之日起，不超过30日历天，</w:t>
      </w:r>
      <w:r>
        <w:rPr>
          <w:rFonts w:hint="eastAsia" w:asciiTheme="minorEastAsia" w:hAnsiTheme="minorEastAsia" w:eastAsiaTheme="minorEastAsia"/>
          <w:b/>
          <w:bCs/>
          <w:sz w:val="24"/>
          <w:szCs w:val="24"/>
          <w:shd w:val="clear" w:color="auto" w:fill="FFFFFF" w:themeFill="background1"/>
        </w:rPr>
        <w:t>具体投标人自报</w:t>
      </w:r>
      <w:r>
        <w:rPr>
          <w:rFonts w:hint="eastAsia" w:cs="华文楷体" w:asciiTheme="minorEastAsia" w:hAnsiTheme="minorEastAsia" w:eastAsiaTheme="minorEastAsia"/>
          <w:b/>
          <w:bCs/>
          <w:sz w:val="24"/>
          <w:szCs w:val="24"/>
          <w:shd w:val="clear" w:color="auto" w:fill="FFFFFF" w:themeFill="background1"/>
        </w:rPr>
        <w:t>。</w:t>
      </w:r>
    </w:p>
    <w:p>
      <w:pPr>
        <w:pStyle w:val="24"/>
        <w:numPr>
          <w:ilvl w:val="0"/>
          <w:numId w:val="0"/>
        </w:numPr>
        <w:spacing w:line="340" w:lineRule="exact"/>
        <w:ind w:left="701" w:leftChars="228" w:hanging="222" w:hangingChars="92"/>
        <w:rPr>
          <w:rFonts w:asciiTheme="minorEastAsia" w:hAnsiTheme="minorEastAsia" w:eastAsiaTheme="minorEastAsia"/>
          <w:bCs/>
          <w:sz w:val="24"/>
          <w:szCs w:val="24"/>
          <w:shd w:val="clear" w:color="auto" w:fill="FFFFFF" w:themeFill="background1"/>
        </w:rPr>
      </w:pPr>
      <w:r>
        <w:rPr>
          <w:rFonts w:cs="华文楷体" w:asciiTheme="minorEastAsia" w:hAnsiTheme="minorEastAsia" w:eastAsiaTheme="minorEastAsia"/>
          <w:b/>
          <w:sz w:val="24"/>
          <w:szCs w:val="24"/>
          <w:shd w:val="clear" w:color="auto" w:fill="FFFFFF" w:themeFill="background1"/>
        </w:rPr>
        <w:t>7</w:t>
      </w:r>
      <w:r>
        <w:rPr>
          <w:rFonts w:hint="eastAsia" w:cs="华文楷体" w:asciiTheme="minorEastAsia" w:hAnsiTheme="minorEastAsia" w:eastAsiaTheme="minorEastAsia"/>
          <w:b/>
          <w:sz w:val="24"/>
          <w:szCs w:val="24"/>
          <w:shd w:val="clear" w:color="auto" w:fill="FFFFFF" w:themeFill="background1"/>
        </w:rPr>
        <w:t>.采购预算金额（最高限价）：</w:t>
      </w:r>
      <w:r>
        <w:rPr>
          <w:rFonts w:hint="eastAsia"/>
          <w:bCs/>
          <w:sz w:val="24"/>
          <w:shd w:val="clear" w:color="auto" w:fill="FFFFFF" w:themeFill="background1"/>
        </w:rPr>
        <w:t>人民币</w:t>
      </w:r>
      <w:r>
        <w:rPr>
          <w:rFonts w:hint="eastAsia"/>
          <w:bCs/>
          <w:sz w:val="24"/>
          <w:shd w:val="clear" w:color="auto" w:fill="FFFFFF" w:themeFill="background1"/>
          <w:lang w:val="en-US" w:eastAsia="zh-CN"/>
        </w:rPr>
        <w:t>38</w:t>
      </w:r>
      <w:r>
        <w:rPr>
          <w:rFonts w:hint="eastAsia"/>
          <w:bCs/>
          <w:sz w:val="24"/>
          <w:shd w:val="clear" w:color="auto" w:fill="FFFFFF" w:themeFill="background1"/>
        </w:rPr>
        <w:t>万元</w:t>
      </w:r>
      <w:r>
        <w:rPr>
          <w:rFonts w:hint="eastAsia" w:asciiTheme="minorEastAsia" w:hAnsiTheme="minorEastAsia" w:eastAsiaTheme="minorEastAsia"/>
          <w:bCs/>
          <w:sz w:val="24"/>
          <w:szCs w:val="24"/>
          <w:shd w:val="clear" w:color="auto" w:fill="FFFFFF" w:themeFill="background1"/>
        </w:rPr>
        <w:t>。</w:t>
      </w:r>
    </w:p>
    <w:p>
      <w:pPr>
        <w:pStyle w:val="24"/>
        <w:numPr>
          <w:ilvl w:val="0"/>
          <w:numId w:val="0"/>
        </w:numPr>
        <w:spacing w:line="340" w:lineRule="exact"/>
        <w:ind w:left="701" w:leftChars="228" w:hanging="222" w:hangingChars="92"/>
        <w:rPr>
          <w:rFonts w:hint="default" w:asciiTheme="minorEastAsia" w:hAnsiTheme="minorEastAsia" w:eastAsiaTheme="minorEastAsia"/>
          <w:bCs/>
          <w:sz w:val="24"/>
          <w:szCs w:val="24"/>
          <w:shd w:val="clear" w:color="auto" w:fill="FFFFFF" w:themeFill="background1"/>
          <w:lang w:val="en-US" w:eastAsia="zh-CN"/>
        </w:rPr>
      </w:pPr>
      <w:r>
        <w:rPr>
          <w:rFonts w:cs="华文楷体" w:asciiTheme="minorEastAsia" w:hAnsiTheme="minorEastAsia" w:eastAsiaTheme="minorEastAsia"/>
          <w:b/>
          <w:sz w:val="24"/>
          <w:szCs w:val="24"/>
          <w:shd w:val="clear" w:color="auto" w:fill="FFFFFF" w:themeFill="background1"/>
        </w:rPr>
        <w:t>8</w:t>
      </w:r>
      <w:r>
        <w:rPr>
          <w:rFonts w:asciiTheme="minorEastAsia" w:hAnsiTheme="minorEastAsia" w:eastAsiaTheme="minorEastAsia"/>
          <w:b/>
          <w:sz w:val="24"/>
          <w:szCs w:val="24"/>
          <w:shd w:val="clear" w:color="auto" w:fill="FFFFFF" w:themeFill="background1"/>
        </w:rPr>
        <w:t>.</w:t>
      </w:r>
      <w:r>
        <w:rPr>
          <w:rFonts w:hint="eastAsia" w:asciiTheme="minorEastAsia" w:hAnsiTheme="minorEastAsia" w:eastAsiaTheme="minorEastAsia"/>
          <w:b/>
          <w:sz w:val="24"/>
          <w:szCs w:val="24"/>
          <w:shd w:val="clear" w:color="auto" w:fill="FFFFFF" w:themeFill="background1"/>
        </w:rPr>
        <w:t>质保期：</w:t>
      </w:r>
      <w:r>
        <w:rPr>
          <w:rFonts w:hint="eastAsia" w:asciiTheme="minorEastAsia" w:hAnsiTheme="minorEastAsia" w:eastAsiaTheme="minorEastAsia"/>
          <w:b/>
          <w:bCs w:val="0"/>
          <w:sz w:val="24"/>
          <w:szCs w:val="24"/>
          <w:shd w:val="clear" w:color="auto" w:fill="FFFFFF" w:themeFill="background1"/>
          <w:lang w:val="en-US" w:eastAsia="zh-CN"/>
        </w:rPr>
        <w:t>整体质保期不少于5年，具体投标人自报</w:t>
      </w:r>
      <w:r>
        <w:rPr>
          <w:rFonts w:hint="eastAsia" w:asciiTheme="minorEastAsia" w:hAnsiTheme="minorEastAsia" w:eastAsiaTheme="minorEastAsia"/>
          <w:bCs/>
          <w:sz w:val="24"/>
          <w:szCs w:val="24"/>
          <w:shd w:val="clear" w:color="auto" w:fill="FFFFFF" w:themeFill="background1"/>
          <w:lang w:val="en-US" w:eastAsia="zh-CN"/>
        </w:rPr>
        <w:t>。</w:t>
      </w:r>
    </w:p>
    <w:p>
      <w:pPr>
        <w:pStyle w:val="24"/>
        <w:numPr>
          <w:ilvl w:val="0"/>
          <w:numId w:val="0"/>
        </w:numPr>
        <w:spacing w:line="340" w:lineRule="exact"/>
        <w:ind w:left="701" w:leftChars="228" w:hanging="222" w:hangingChars="92"/>
        <w:rPr>
          <w:rFonts w:asciiTheme="minorEastAsia" w:hAnsiTheme="minorEastAsia" w:eastAsiaTheme="minorEastAsia"/>
          <w:b/>
          <w:sz w:val="24"/>
          <w:szCs w:val="24"/>
          <w:shd w:val="clear" w:color="auto" w:fill="FFFFFF" w:themeFill="background1"/>
        </w:rPr>
      </w:pPr>
      <w:r>
        <w:rPr>
          <w:rFonts w:cs="华文楷体" w:asciiTheme="minorEastAsia" w:hAnsiTheme="minorEastAsia" w:eastAsiaTheme="minorEastAsia"/>
          <w:b/>
          <w:sz w:val="24"/>
          <w:szCs w:val="24"/>
          <w:shd w:val="clear" w:color="auto" w:fill="FFFFFF" w:themeFill="background1"/>
        </w:rPr>
        <w:t>9.</w:t>
      </w:r>
      <w:r>
        <w:rPr>
          <w:rFonts w:hint="eastAsia" w:asciiTheme="minorEastAsia" w:hAnsiTheme="minorEastAsia" w:eastAsiaTheme="minorEastAsia"/>
          <w:b/>
          <w:sz w:val="24"/>
          <w:szCs w:val="24"/>
          <w:shd w:val="clear" w:color="auto" w:fill="FFFFFF" w:themeFill="background1"/>
        </w:rPr>
        <w:t>投标人资格条件</w:t>
      </w:r>
    </w:p>
    <w:p>
      <w:pPr>
        <w:pStyle w:val="12"/>
        <w:shd w:val="clear" w:color="auto" w:fill="FFFFFF"/>
        <w:spacing w:before="45" w:beforeAutospacing="0" w:after="45" w:afterAutospacing="0" w:line="315" w:lineRule="atLeast"/>
        <w:ind w:firstLine="480" w:firstLineChars="200"/>
        <w:rPr>
          <w:rFonts w:ascii="微软雅黑" w:hAnsi="微软雅黑" w:eastAsia="微软雅黑"/>
          <w:color w:val="000000"/>
          <w:sz w:val="18"/>
          <w:szCs w:val="18"/>
        </w:rPr>
      </w:pPr>
      <w:r>
        <w:rPr>
          <w:rFonts w:hint="eastAsia"/>
          <w:color w:val="000000"/>
        </w:rPr>
        <w:t>9</w:t>
      </w:r>
      <w:r>
        <w:rPr>
          <w:color w:val="000000"/>
        </w:rPr>
        <w:t>.1</w:t>
      </w:r>
      <w:r>
        <w:rPr>
          <w:rFonts w:hint="eastAsia"/>
          <w:color w:val="000000"/>
        </w:rPr>
        <w:t>具有独立承担民事责任的能力；</w:t>
      </w:r>
    </w:p>
    <w:p>
      <w:pPr>
        <w:pStyle w:val="12"/>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.2</w:t>
      </w:r>
      <w:r>
        <w:rPr>
          <w:rFonts w:hint="eastAsia"/>
          <w:color w:val="000000"/>
        </w:rPr>
        <w:t>具有良好的商业信誉和健全的财务会计制度；</w:t>
      </w:r>
    </w:p>
    <w:p>
      <w:pPr>
        <w:pStyle w:val="12"/>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.3</w:t>
      </w:r>
      <w:r>
        <w:rPr>
          <w:rFonts w:hint="eastAsia"/>
          <w:color w:val="000000"/>
        </w:rPr>
        <w:t>具有履行合同所必需的设备和专业技术能力；</w:t>
      </w:r>
    </w:p>
    <w:p>
      <w:pPr>
        <w:pStyle w:val="12"/>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.4</w:t>
      </w:r>
      <w:r>
        <w:rPr>
          <w:rFonts w:hint="eastAsia"/>
          <w:color w:val="000000"/>
        </w:rPr>
        <w:t>依法缴纳税收和社会保障资金；</w:t>
      </w:r>
    </w:p>
    <w:p>
      <w:pPr>
        <w:pStyle w:val="12"/>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.5</w:t>
      </w:r>
      <w:r>
        <w:rPr>
          <w:rFonts w:hint="eastAsia"/>
          <w:color w:val="000000"/>
        </w:rPr>
        <w:t>符合法律、行政法规规定的其他条件；</w:t>
      </w:r>
    </w:p>
    <w:p>
      <w:pPr>
        <w:pStyle w:val="12"/>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.6</w:t>
      </w:r>
      <w:r>
        <w:rPr>
          <w:rFonts w:hint="eastAsia"/>
          <w:color w:val="000000"/>
        </w:rPr>
        <w:t>进口产品递交投标文件时必须携带有效授权证明；</w:t>
      </w:r>
    </w:p>
    <w:p>
      <w:pPr>
        <w:pStyle w:val="12"/>
        <w:shd w:val="clear" w:color="auto" w:fill="FFFFFF"/>
        <w:spacing w:before="45" w:beforeAutospacing="0" w:after="45" w:afterAutospacing="0" w:line="315" w:lineRule="atLeast"/>
        <w:ind w:firstLine="480" w:firstLineChars="200"/>
        <w:rPr>
          <w:color w:val="000000"/>
        </w:rPr>
      </w:pPr>
      <w:r>
        <w:rPr>
          <w:rFonts w:hint="eastAsia"/>
          <w:color w:val="000000"/>
        </w:rPr>
        <w:t>9</w:t>
      </w:r>
      <w:r>
        <w:rPr>
          <w:color w:val="000000"/>
        </w:rPr>
        <w:t>.7</w:t>
      </w:r>
      <w:r>
        <w:rPr>
          <w:rFonts w:hint="eastAsia"/>
          <w:color w:val="000000"/>
        </w:rPr>
        <w:t>不接受联合体投标，单位负责人为同一人或者存在控股、管理关系的不同单位不得参加同一项目的投标活动。</w:t>
      </w:r>
    </w:p>
    <w:p>
      <w:pPr>
        <w:pStyle w:val="12"/>
        <w:shd w:val="clear" w:color="auto" w:fill="FFFFFF"/>
        <w:spacing w:before="45" w:beforeAutospacing="0" w:after="45" w:afterAutospacing="0" w:line="315" w:lineRule="atLeast"/>
        <w:ind w:firstLine="315"/>
        <w:rPr>
          <w:rFonts w:ascii="微软雅黑" w:hAnsi="微软雅黑" w:eastAsia="微软雅黑"/>
          <w:color w:val="000000"/>
          <w:sz w:val="18"/>
          <w:szCs w:val="18"/>
        </w:rPr>
      </w:pPr>
    </w:p>
    <w:p>
      <w:pPr>
        <w:pStyle w:val="26"/>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二、投标文件</w:t>
      </w:r>
    </w:p>
    <w:p>
      <w:pPr>
        <w:pStyle w:val="24"/>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投标文件的语言和计量单位</w:t>
      </w:r>
    </w:p>
    <w:p>
      <w:pPr>
        <w:pStyle w:val="24"/>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1.1投标人所提供的投标文件包含技术文件、有关资料、说明等，均应使用中文简化字。</w:t>
      </w:r>
    </w:p>
    <w:p>
      <w:pPr>
        <w:pStyle w:val="24"/>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1.2投标文件所使用的计量单位，除工程规范另有规定外，均采用中华人民共和国法定计量单位。</w:t>
      </w:r>
    </w:p>
    <w:p>
      <w:pPr>
        <w:pStyle w:val="24"/>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2.投标文件的组成及相关要求</w:t>
      </w:r>
    </w:p>
    <w:p>
      <w:pPr>
        <w:pStyle w:val="24"/>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2.1投标文件分为商务和技术两个部分，这两部分按照商务与技术的顺序装订成一册。为了方便评审，投标文件中的各项表格必须按照采购文件格式要求制作。</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2.2商务部分指投标人提</w:t>
      </w:r>
      <w:r>
        <w:rPr>
          <w:rFonts w:hint="eastAsia" w:cs="华文楷体" w:asciiTheme="minorEastAsia" w:hAnsiTheme="minorEastAsia" w:eastAsiaTheme="minorEastAsia"/>
          <w:color w:val="000000" w:themeColor="text1"/>
          <w:sz w:val="24"/>
          <w:szCs w:val="24"/>
        </w:rPr>
        <w:t>交的证明其有资格参加投标和成交后有能力履行合同的文件。</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2.3商务文件、技术文件与投标人认为需要编写的技术文件的组成均按本采购文件要</w:t>
      </w:r>
      <w:r>
        <w:rPr>
          <w:rFonts w:hint="eastAsia" w:cs="华文楷体" w:asciiTheme="minorEastAsia" w:hAnsiTheme="minorEastAsia" w:eastAsiaTheme="minorEastAsia"/>
          <w:color w:val="000000" w:themeColor="text1"/>
          <w:sz w:val="24"/>
          <w:szCs w:val="24"/>
        </w:rPr>
        <w:t>求的顺序与内容填写。</w:t>
      </w:r>
    </w:p>
    <w:p>
      <w:pPr>
        <w:pStyle w:val="24"/>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3.投标内容填写说明</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3.3投标人必须保证投标文件所提供的全部资料真实可靠，并接受采购人对其中任何资料进一步审查的要求。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3.4报价一览表要求按格式统一填写，不得自行增减内容。</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pPr>
        <w:pStyle w:val="24"/>
        <w:numPr>
          <w:ilvl w:val="0"/>
          <w:numId w:val="0"/>
        </w:numPr>
        <w:spacing w:line="340" w:lineRule="exact"/>
        <w:ind w:left="707" w:leftChars="228" w:hanging="228" w:hangingChars="95"/>
        <w:rPr>
          <w:rFonts w:cs="华文楷体"/>
          <w:color w:val="000000"/>
          <w:sz w:val="24"/>
        </w:rPr>
      </w:pPr>
      <w:r>
        <w:rPr>
          <w:rFonts w:hint="eastAsia" w:cs="华文楷体"/>
          <w:color w:val="000000"/>
          <w:sz w:val="24"/>
        </w:rPr>
        <w:t>3.6</w:t>
      </w:r>
      <w:r>
        <w:rPr>
          <w:rFonts w:hint="eastAsia" w:cs="华文楷体"/>
          <w:b/>
          <w:color w:val="000000"/>
          <w:sz w:val="24"/>
        </w:rPr>
        <w:t>本项目有二次报价环节，二次报价不得高于一次报价；二次报价为最终报价</w:t>
      </w:r>
      <w:r>
        <w:rPr>
          <w:rFonts w:hint="eastAsia" w:cs="华文楷体"/>
          <w:color w:val="000000"/>
          <w:sz w:val="24"/>
        </w:rPr>
        <w:t>。</w:t>
      </w:r>
    </w:p>
    <w:p>
      <w:pPr>
        <w:pStyle w:val="24"/>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4.投标文件的编制</w:t>
      </w:r>
    </w:p>
    <w:p>
      <w:pPr>
        <w:pStyle w:val="24"/>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投标文件格式”）在制作投标文件时须按照磋商文件提供的格式填写，无格式要求的投标人自行编制；混乱的编排以致投标文件被误读或招标人查找不到有效文件，后果由投标人承担。</w:t>
      </w:r>
    </w:p>
    <w:p>
      <w:pPr>
        <w:pStyle w:val="24"/>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4.1资格审查符合性审查材料索引表；</w:t>
      </w:r>
    </w:p>
    <w:p>
      <w:pPr>
        <w:pStyle w:val="24"/>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4.2评分索引表；</w:t>
      </w:r>
    </w:p>
    <w:p>
      <w:pPr>
        <w:spacing w:line="380" w:lineRule="exact"/>
        <w:ind w:firstLine="468" w:firstLineChars="195"/>
        <w:rPr>
          <w:rFonts w:ascii="宋体" w:hAnsi="宋体"/>
          <w:sz w:val="24"/>
        </w:rPr>
      </w:pPr>
      <w:r>
        <w:rPr>
          <w:rFonts w:hint="eastAsia" w:ascii="宋体" w:hAnsi="宋体"/>
          <w:sz w:val="24"/>
        </w:rPr>
        <w:t>4.3投标函；</w:t>
      </w:r>
    </w:p>
    <w:p>
      <w:pPr>
        <w:spacing w:line="380" w:lineRule="exact"/>
        <w:ind w:firstLine="468" w:firstLineChars="195"/>
        <w:rPr>
          <w:rFonts w:hint="eastAsia" w:ascii="宋体" w:hAnsi="宋体"/>
          <w:sz w:val="24"/>
        </w:rPr>
      </w:pPr>
      <w:r>
        <w:rPr>
          <w:rFonts w:hint="eastAsia" w:ascii="宋体" w:hAnsi="宋体"/>
          <w:sz w:val="24"/>
        </w:rPr>
        <w:t>4.4投标报价一览表；</w:t>
      </w:r>
    </w:p>
    <w:p>
      <w:pPr>
        <w:spacing w:line="380" w:lineRule="exact"/>
        <w:ind w:firstLine="468" w:firstLineChars="195"/>
        <w:rPr>
          <w:rFonts w:hint="default" w:ascii="宋体" w:hAnsi="宋体" w:eastAsia="宋体"/>
          <w:sz w:val="24"/>
          <w:lang w:val="en-US" w:eastAsia="zh-CN"/>
        </w:rPr>
      </w:pPr>
      <w:r>
        <w:rPr>
          <w:rFonts w:hint="eastAsia" w:ascii="宋体" w:hAnsi="宋体"/>
          <w:sz w:val="24"/>
          <w:lang w:val="en-US" w:eastAsia="zh-CN"/>
        </w:rPr>
        <w:t>4.5投标报价明细表；</w:t>
      </w:r>
    </w:p>
    <w:p>
      <w:pPr>
        <w:spacing w:line="380" w:lineRule="exact"/>
        <w:ind w:firstLine="468" w:firstLineChars="195"/>
        <w:rPr>
          <w:rFonts w:ascii="宋体" w:hAnsi="宋体"/>
          <w:sz w:val="24"/>
        </w:rPr>
      </w:pPr>
      <w:r>
        <w:rPr>
          <w:rFonts w:hint="eastAsia" w:ascii="宋体" w:hAnsi="宋体"/>
          <w:sz w:val="24"/>
        </w:rPr>
        <w:t>4.</w:t>
      </w:r>
      <w:r>
        <w:rPr>
          <w:rFonts w:hint="eastAsia" w:ascii="宋体" w:hAnsi="宋体"/>
          <w:sz w:val="24"/>
          <w:lang w:val="en-US" w:eastAsia="zh-CN"/>
        </w:rPr>
        <w:t>6</w:t>
      </w:r>
      <w:r>
        <w:rPr>
          <w:rFonts w:hint="eastAsia" w:ascii="宋体" w:hAnsi="宋体"/>
          <w:sz w:val="24"/>
        </w:rPr>
        <w:t>法定代表人的授权委托书（原件封于投标文件正本中）；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7</w:t>
      </w:r>
      <w:r>
        <w:rPr>
          <w:rFonts w:hint="eastAsia" w:ascii="宋体" w:hAnsi="宋体"/>
          <w:sz w:val="24"/>
        </w:rPr>
        <w:t>质保与服务承诺书（如是进口设备需提供厂家授权，原件封于投标文件正本中）；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8</w:t>
      </w:r>
      <w:r>
        <w:rPr>
          <w:rFonts w:hint="eastAsia" w:ascii="宋体" w:hAnsi="宋体"/>
          <w:sz w:val="24"/>
        </w:rPr>
        <w:t>无重大违法记录的书面声明（原件封于投标文件正本中）；</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9</w:t>
      </w:r>
      <w:r>
        <w:rPr>
          <w:rFonts w:hint="eastAsia" w:ascii="宋体" w:hAnsi="宋体"/>
          <w:sz w:val="24"/>
        </w:rPr>
        <w:t>投标单位情况介绍（简要说明）；</w:t>
      </w:r>
    </w:p>
    <w:p>
      <w:pPr>
        <w:spacing w:line="380" w:lineRule="exact"/>
        <w:ind w:firstLine="468" w:firstLineChars="195"/>
        <w:rPr>
          <w:rFonts w:ascii="宋体" w:hAnsi="宋体"/>
          <w:sz w:val="24"/>
        </w:rPr>
      </w:pPr>
      <w:r>
        <w:rPr>
          <w:rFonts w:hint="eastAsia" w:ascii="宋体" w:hAnsi="宋体"/>
          <w:sz w:val="24"/>
        </w:rPr>
        <w:t>4.</w:t>
      </w:r>
      <w:r>
        <w:rPr>
          <w:rFonts w:hint="eastAsia" w:ascii="宋体" w:hAnsi="宋体"/>
          <w:sz w:val="24"/>
          <w:lang w:val="en-US" w:eastAsia="zh-CN"/>
        </w:rPr>
        <w:t>10</w:t>
      </w:r>
      <w:r>
        <w:rPr>
          <w:rFonts w:hint="eastAsia" w:ascii="宋体" w:hAnsi="宋体"/>
          <w:sz w:val="24"/>
        </w:rPr>
        <w:t>企业营业执照复印件；</w:t>
      </w:r>
    </w:p>
    <w:p>
      <w:pPr>
        <w:spacing w:line="380" w:lineRule="exact"/>
        <w:ind w:firstLine="468" w:firstLineChars="195"/>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11</w:t>
      </w:r>
      <w:r>
        <w:rPr>
          <w:rFonts w:hint="eastAsia" w:ascii="宋体" w:hAnsi="宋体"/>
          <w:sz w:val="24"/>
        </w:rPr>
        <w:t>投标人财务状况良好，提供：</w:t>
      </w:r>
    </w:p>
    <w:p>
      <w:pPr>
        <w:spacing w:line="380" w:lineRule="exact"/>
        <w:ind w:firstLine="420"/>
        <w:rPr>
          <w:rFonts w:ascii="宋体" w:hAnsi="宋体"/>
          <w:sz w:val="24"/>
        </w:rPr>
      </w:pPr>
      <w:r>
        <w:rPr>
          <w:rFonts w:hint="eastAsia" w:ascii="宋体" w:hAnsi="宋体"/>
          <w:sz w:val="24"/>
        </w:rPr>
        <w:t>⑴投标人提交首次响应文件时间前6个月内任何1日的资产负债表复印件1份；</w:t>
      </w:r>
    </w:p>
    <w:p>
      <w:pPr>
        <w:spacing w:line="380" w:lineRule="exact"/>
        <w:ind w:firstLine="420"/>
        <w:rPr>
          <w:rFonts w:ascii="宋体" w:hAnsi="宋体"/>
          <w:sz w:val="24"/>
        </w:rPr>
      </w:pPr>
      <w:r>
        <w:rPr>
          <w:rFonts w:hint="eastAsia" w:ascii="宋体" w:hAnsi="宋体"/>
          <w:sz w:val="24"/>
        </w:rPr>
        <w:t>⑵投标人提交首次响应文件时间前6个月内任何1月（不含本公告发布当月）利润表月报表复印件1份。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w:t>
      </w:r>
      <w:r>
        <w:rPr>
          <w:rFonts w:hint="eastAsia" w:ascii="宋体" w:hAnsi="宋体"/>
          <w:sz w:val="24"/>
        </w:rPr>
        <w:t>⑴</w:t>
      </w:r>
      <w:r>
        <w:rPr>
          <w:rFonts w:hint="eastAsia" w:ascii="宋体" w:hAnsi="宋体"/>
          <w:color w:val="000000"/>
          <w:sz w:val="24"/>
        </w:rPr>
        <w:t>、</w:t>
      </w:r>
      <w:r>
        <w:rPr>
          <w:rFonts w:hint="eastAsia" w:ascii="宋体" w:hAnsi="宋体"/>
          <w:sz w:val="24"/>
        </w:rPr>
        <w:t>⑵</w:t>
      </w:r>
      <w:r>
        <w:rPr>
          <w:rFonts w:hint="eastAsia" w:ascii="宋体" w:hAnsi="宋体"/>
          <w:color w:val="000000"/>
          <w:sz w:val="24"/>
        </w:rPr>
        <w:t>要求的材料无法提供时，可提供有审计资格的第三方出具的投标人上一年度财务审计报告复印件。</w:t>
      </w:r>
    </w:p>
    <w:p>
      <w:pPr>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12</w:t>
      </w:r>
      <w:r>
        <w:rPr>
          <w:rFonts w:hint="eastAsia" w:ascii="宋体" w:hAnsi="宋体"/>
          <w:sz w:val="24"/>
        </w:rPr>
        <w:t>投标单位为投标代表缴纳社保证明（提交首次响应文件时间前6个月内任何1月的依法缴纳社保的相关材料复印件）；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13</w:t>
      </w:r>
      <w:r>
        <w:rPr>
          <w:rFonts w:hint="eastAsia" w:ascii="宋体" w:hAnsi="宋体"/>
          <w:sz w:val="24"/>
        </w:rPr>
        <w:t>商务和技术偏离表；</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14</w:t>
      </w:r>
      <w:r>
        <w:rPr>
          <w:rFonts w:hint="eastAsia" w:ascii="宋体" w:hAnsi="宋体"/>
          <w:sz w:val="24"/>
        </w:rPr>
        <w:t>设备（系统）技术性能详细说明；</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15</w:t>
      </w:r>
      <w:r>
        <w:rPr>
          <w:rFonts w:hint="eastAsia" w:ascii="宋体" w:hAnsi="宋体"/>
          <w:sz w:val="24"/>
        </w:rPr>
        <w:t>设备（系统）供货、安装调试方案；</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16</w:t>
      </w:r>
      <w:r>
        <w:rPr>
          <w:rFonts w:hint="eastAsia" w:ascii="宋体" w:hAnsi="宋体"/>
          <w:sz w:val="24"/>
        </w:rPr>
        <w:t>质保与售后服务方案；</w:t>
      </w:r>
    </w:p>
    <w:p>
      <w:pPr>
        <w:spacing w:line="380" w:lineRule="exact"/>
        <w:ind w:firstLine="420"/>
        <w:rPr>
          <w:rFonts w:ascii="宋体" w:hAnsi="宋体"/>
          <w:sz w:val="24"/>
          <w:shd w:val="clear" w:color="auto" w:fill="FFFFFF" w:themeFill="background1"/>
        </w:rPr>
      </w:pPr>
      <w:r>
        <w:rPr>
          <w:rFonts w:hint="eastAsia" w:ascii="宋体" w:hAnsi="宋体"/>
          <w:sz w:val="24"/>
          <w:shd w:val="clear" w:color="auto" w:fill="FFFFFF" w:themeFill="background1"/>
        </w:rPr>
        <w:t>4.</w:t>
      </w:r>
      <w:r>
        <w:rPr>
          <w:rFonts w:hint="eastAsia" w:ascii="宋体" w:hAnsi="宋体"/>
          <w:sz w:val="24"/>
          <w:shd w:val="clear" w:color="auto" w:fill="FFFFFF" w:themeFill="background1"/>
          <w:lang w:val="en-US" w:eastAsia="zh-CN"/>
        </w:rPr>
        <w:t>17</w:t>
      </w:r>
      <w:r>
        <w:rPr>
          <w:rFonts w:hint="eastAsia" w:ascii="宋体" w:hAnsi="宋体"/>
          <w:sz w:val="24"/>
          <w:shd w:val="clear" w:color="auto" w:fill="FFFFFF" w:themeFill="background1"/>
        </w:rPr>
        <w:t>企业类似业绩</w:t>
      </w:r>
      <w:r>
        <w:rPr>
          <w:rFonts w:hint="eastAsia" w:ascii="宋体" w:hAnsi="宋体"/>
          <w:b/>
          <w:sz w:val="24"/>
          <w:shd w:val="clear" w:color="auto" w:fill="FFFFFF" w:themeFill="background1"/>
        </w:rPr>
        <w:t>（2020年1月1日以来类似业绩，复印件加盖公章备查）</w:t>
      </w:r>
      <w:r>
        <w:rPr>
          <w:rFonts w:hint="eastAsia" w:ascii="宋体" w:hAnsi="宋体"/>
          <w:sz w:val="24"/>
          <w:shd w:val="clear" w:color="auto" w:fill="FFFFFF" w:themeFill="background1"/>
        </w:rPr>
        <w:t>；</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18</w:t>
      </w:r>
      <w:r>
        <w:rPr>
          <w:rFonts w:hint="eastAsia" w:ascii="宋体" w:hAnsi="宋体"/>
          <w:sz w:val="24"/>
        </w:rPr>
        <w:t>投标人资格条件中对企业资质有要求时须提供相关资格证书复印件；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19</w:t>
      </w:r>
      <w:r>
        <w:rPr>
          <w:rFonts w:hint="eastAsia" w:ascii="宋体" w:hAnsi="宋体"/>
          <w:sz w:val="24"/>
        </w:rPr>
        <w:t>未被“信用中国”网站（www.creditchina.gov.cn）列入失信执行人、重大税收违法案件当事人名单、政府采购严重违法失信行为记录名单，否则投标无效，</w:t>
      </w:r>
      <w:r>
        <w:rPr>
          <w:rFonts w:hint="eastAsia" w:ascii="宋体" w:hAnsi="宋体"/>
          <w:b/>
          <w:sz w:val="24"/>
        </w:rPr>
        <w:t>须提供信用查询截图</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20</w:t>
      </w:r>
      <w:r>
        <w:rPr>
          <w:rFonts w:hint="eastAsia" w:ascii="宋体" w:hAnsi="宋体"/>
          <w:sz w:val="24"/>
        </w:rPr>
        <w:t>采购文件中要求提交的和投标人认为需要提供的其它说明和资料。</w:t>
      </w:r>
    </w:p>
    <w:p>
      <w:pPr>
        <w:pStyle w:val="24"/>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5.1 所有投标均以人民币“元”为计算单位。</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5.2投标人要按报价表(统一格式)的内容填写单价、总价及其他事项，并由法定代表人或投标人代表签署。</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5.3采购人不接受不明确的投标方案和投标，但投标人可投报不同的确定方案。投标人对投标如果有说明应在投标一览表显著处予以注明。</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5.5最低投标价不能作为成交的保证。</w:t>
      </w:r>
    </w:p>
    <w:p>
      <w:pPr>
        <w:pStyle w:val="24"/>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6.投标费用</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6.1 投标人应提供的费用详见“磋商公告”相应要求。</w:t>
      </w:r>
    </w:p>
    <w:p>
      <w:pPr>
        <w:pStyle w:val="24"/>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6.2未按前述各款要求提交费用的将被视为无效投标。</w:t>
      </w:r>
    </w:p>
    <w:p>
      <w:pPr>
        <w:pStyle w:val="24"/>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7.投标文件的有效期</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24"/>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8.投标文件的签署及其他规定</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8.1 组成投标文件的各项文件均应遵守本条。</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hint="eastAsia" w:cs="华文楷体" w:asciiTheme="minorEastAsia" w:hAnsiTheme="minorEastAsia" w:eastAsiaTheme="minorEastAsia"/>
          <w:b/>
          <w:color w:val="000000" w:themeColor="text1"/>
          <w:sz w:val="24"/>
          <w:szCs w:val="24"/>
        </w:rPr>
        <w:t>原件附在投标文件中。</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8.4 投标文件一式</w:t>
      </w:r>
      <w:r>
        <w:rPr>
          <w:rFonts w:cs="华文楷体" w:asciiTheme="minorEastAsia" w:hAnsiTheme="minorEastAsia" w:eastAsiaTheme="minorEastAsia"/>
          <w:color w:val="000000" w:themeColor="text1"/>
          <w:kern w:val="2"/>
          <w:sz w:val="24"/>
          <w:szCs w:val="24"/>
        </w:rPr>
        <w:t>6</w:t>
      </w:r>
      <w:r>
        <w:rPr>
          <w:rFonts w:hint="eastAsia" w:cs="华文楷体" w:asciiTheme="minorEastAsia" w:hAnsiTheme="minorEastAsia" w:eastAsiaTheme="minorEastAsia"/>
          <w:color w:val="000000" w:themeColor="text1"/>
          <w:kern w:val="2"/>
          <w:sz w:val="24"/>
          <w:szCs w:val="24"/>
        </w:rPr>
        <w:t>份，其中正本1份，副本</w:t>
      </w:r>
      <w:r>
        <w:rPr>
          <w:rFonts w:cs="华文楷体" w:asciiTheme="minorEastAsia" w:hAnsiTheme="minorEastAsia" w:eastAsiaTheme="minorEastAsia"/>
          <w:color w:val="000000" w:themeColor="text1"/>
          <w:kern w:val="2"/>
          <w:sz w:val="24"/>
          <w:szCs w:val="24"/>
        </w:rPr>
        <w:t>5</w:t>
      </w:r>
      <w:r>
        <w:rPr>
          <w:rFonts w:hint="eastAsia" w:cs="华文楷体" w:asciiTheme="minorEastAsia" w:hAnsiTheme="minorEastAsia" w:eastAsiaTheme="minorEastAsia"/>
          <w:color w:val="000000" w:themeColor="text1"/>
          <w:kern w:val="2"/>
          <w:sz w:val="24"/>
          <w:szCs w:val="24"/>
        </w:rPr>
        <w:t>份。</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8.5 投标文件的正本必须用不褪色的蓝黑墨水填写或打印，注明“正本”字样，并由投标人的法定代表人或投标人代表签字。</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8.6 投标文件应字迹清楚、内容齐全、不得涂改和增删。如果有修改错漏处，修改处须有投标人公章及法定代表人或投标人代表签字。</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8.7因投标文件字迹潦草或表达不清所引起的不利后果由投标人承担。</w:t>
      </w:r>
    </w:p>
    <w:p>
      <w:pPr>
        <w:pStyle w:val="24"/>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p>
    <w:p>
      <w:pPr>
        <w:pStyle w:val="26"/>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三、投标文件的递交</w:t>
      </w:r>
    </w:p>
    <w:p>
      <w:pPr>
        <w:pStyle w:val="24"/>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1.投标文件的密封及标记</w:t>
      </w:r>
    </w:p>
    <w:p>
      <w:pPr>
        <w:pStyle w:val="24"/>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1.1投标文件应按以下方法分别装袋密封：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投标文件统一密封为一袋，内装投标文件正副本共一式</w:t>
      </w:r>
      <w:r>
        <w:rPr>
          <w:rFonts w:cs="华文楷体" w:asciiTheme="minorEastAsia" w:hAnsiTheme="minorEastAsia" w:eastAsiaTheme="minorEastAsia"/>
          <w:color w:val="000000" w:themeColor="text1"/>
          <w:sz w:val="24"/>
        </w:rPr>
        <w:t>6</w:t>
      </w:r>
      <w:r>
        <w:rPr>
          <w:rFonts w:hint="eastAsia" w:cs="华文楷体" w:asciiTheme="minorEastAsia" w:hAnsiTheme="minorEastAsia" w:eastAsiaTheme="minorEastAsia"/>
          <w:color w:val="000000" w:themeColor="text1"/>
          <w:sz w:val="24"/>
        </w:rPr>
        <w:t>份（及投标人认为有必要提交的其他资料）。</w:t>
      </w:r>
      <w:r>
        <w:rPr>
          <w:rFonts w:hint="eastAsia" w:ascii="宋体" w:hAnsi="宋体"/>
          <w:b/>
          <w:sz w:val="24"/>
        </w:rPr>
        <w:t>投标文件正副本装于一个密封袋内，不得分开封装。</w:t>
      </w:r>
      <w:r>
        <w:rPr>
          <w:rFonts w:hint="eastAsia" w:cs="华文楷体" w:asciiTheme="minorEastAsia" w:hAnsiTheme="minorEastAsia" w:eastAsiaTheme="minorEastAsia"/>
          <w:color w:val="000000" w:themeColor="text1"/>
          <w:sz w:val="24"/>
        </w:rPr>
        <w:t>封口处应有法定代表人或投标人代表的签字及投标人公章。封皮上写明项目编号、项目名称、投标人全称、地址，并注明“投标时启封”字样。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pPr>
        <w:pStyle w:val="24"/>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2.投标截止时间</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2.1投标文件须按照采购文件规定的时间、地点送达。</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2.2采购人推迟投标截止时间时，采购人和投标人的权利及义务将受到新的截止期的约束。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2.3拒绝接收在提交投标文件截止时间以后送达的投标文件。</w:t>
      </w:r>
    </w:p>
    <w:p>
      <w:pPr>
        <w:pStyle w:val="24"/>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3.投标文件的修改和撤回</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3.2投标人修改投标文件的书面材料，须密封提交，同时应在封套上标明“修改投标文件(并注明项目编号)”和“投标时启封”字样。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3.3在提交投标文件截止时间之后，投标人不得撤回投标。否则撤回投标文件的行为将被记录在案，投标人今后参与同类采购项目的机会可能会受到影响。</w:t>
      </w:r>
    </w:p>
    <w:p>
      <w:pPr>
        <w:spacing w:line="340" w:lineRule="exact"/>
        <w:ind w:firstLine="480" w:firstLineChars="200"/>
        <w:rPr>
          <w:rFonts w:cs="华文楷体" w:asciiTheme="minorEastAsia" w:hAnsiTheme="minorEastAsia" w:eastAsiaTheme="minorEastAsia"/>
          <w:color w:val="000000" w:themeColor="text1"/>
          <w:sz w:val="24"/>
        </w:rPr>
      </w:pPr>
    </w:p>
    <w:p>
      <w:pPr>
        <w:pStyle w:val="26"/>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四、开标评标</w:t>
      </w:r>
    </w:p>
    <w:p>
      <w:pPr>
        <w:pStyle w:val="24"/>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1.评标原则</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1.1投标人资格与资质条件是否符合采购文件的要求；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1.2投标人在投标文件中提交的商务和技术文件是否响应本采购文件的要求；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1.3投标人的技术文件是否合理可行；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1.4投标人是否具备良好的经营状况和履行本项目的能力。</w:t>
      </w:r>
    </w:p>
    <w:p>
      <w:pPr>
        <w:pStyle w:val="24"/>
        <w:numPr>
          <w:ilvl w:val="0"/>
          <w:numId w:val="0"/>
        </w:numPr>
        <w:ind w:left="420" w:leftChars="200"/>
        <w:rPr>
          <w:b/>
          <w:sz w:val="24"/>
          <w:szCs w:val="24"/>
        </w:rPr>
      </w:pPr>
      <w:r>
        <w:rPr>
          <w:rFonts w:hint="eastAsia"/>
          <w:b/>
          <w:sz w:val="24"/>
          <w:szCs w:val="24"/>
        </w:rPr>
        <w:t>2.开标</w:t>
      </w:r>
    </w:p>
    <w:p>
      <w:pPr>
        <w:pStyle w:val="24"/>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24"/>
        <w:numPr>
          <w:ilvl w:val="0"/>
          <w:numId w:val="0"/>
        </w:numPr>
        <w:tabs>
          <w:tab w:val="left" w:pos="420"/>
        </w:tabs>
        <w:ind w:left="420" w:leftChars="200"/>
        <w:rPr>
          <w:b/>
          <w:sz w:val="24"/>
          <w:szCs w:val="24"/>
        </w:rPr>
      </w:pPr>
      <w:r>
        <w:rPr>
          <w:rFonts w:hint="eastAsia"/>
          <w:b/>
          <w:sz w:val="24"/>
          <w:szCs w:val="24"/>
        </w:rPr>
        <w:t>4.评标</w:t>
      </w:r>
    </w:p>
    <w:p>
      <w:pPr>
        <w:ind w:firstLine="480" w:firstLineChars="200"/>
        <w:rPr>
          <w:rFonts w:ascii="宋体" w:hAnsi="宋体"/>
          <w:color w:val="000000"/>
          <w:sz w:val="24"/>
        </w:rPr>
      </w:pPr>
      <w:r>
        <w:rPr>
          <w:rFonts w:hint="eastAsia" w:ascii="宋体" w:hAnsi="宋体"/>
          <w:color w:val="000000"/>
          <w:sz w:val="24"/>
        </w:rPr>
        <w:t>在学校监督部门参与下，由我校招标办负责组建的评标小组本着公平、公正的原则，采用综合评分法评标。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spacing w:line="340" w:lineRule="exact"/>
        <w:ind w:firstLine="480" w:firstLineChars="200"/>
        <w:rPr>
          <w:rFonts w:cs="华文楷体" w:asciiTheme="minorEastAsia" w:hAnsiTheme="minorEastAsia" w:eastAsiaTheme="minorEastAsia"/>
          <w:color w:val="000000" w:themeColor="text1"/>
          <w:sz w:val="24"/>
        </w:rPr>
      </w:pPr>
    </w:p>
    <w:p>
      <w:pPr>
        <w:pStyle w:val="26"/>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五、授予合同</w:t>
      </w:r>
    </w:p>
    <w:p>
      <w:pPr>
        <w:spacing w:line="340" w:lineRule="exact"/>
        <w:ind w:firstLine="482"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b/>
          <w:color w:val="000000" w:themeColor="text1"/>
          <w:sz w:val="24"/>
        </w:rPr>
        <w:t>1.授予合同的顺序</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pPr>
        <w:pStyle w:val="24"/>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2.采购人拒绝投标的权利</w:t>
      </w:r>
    </w:p>
    <w:p>
      <w:pPr>
        <w:pStyle w:val="24"/>
        <w:numPr>
          <w:ilvl w:val="0"/>
          <w:numId w:val="0"/>
        </w:numPr>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出现下列情况之一时，采购人有权拒绝所有投标，并将理由通知所有投标人：</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rPr>
        <w:t>2.2投标人的投标均超过了</w:t>
      </w:r>
      <w:r>
        <w:rPr>
          <w:rFonts w:hint="eastAsia" w:cs="华文楷体" w:asciiTheme="minorEastAsia" w:hAnsiTheme="minorEastAsia" w:eastAsiaTheme="minorEastAsia"/>
          <w:color w:val="000000" w:themeColor="text1"/>
          <w:sz w:val="24"/>
          <w:shd w:val="clear" w:color="auto" w:fill="FFFFFF" w:themeFill="background1"/>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shd w:val="clear" w:color="auto" w:fill="FFFFFF" w:themeFill="background1"/>
        </w:rPr>
        <w:t>2.3因重大变故，采购任务取消的。</w:t>
      </w:r>
    </w:p>
    <w:p>
      <w:pPr>
        <w:pStyle w:val="24"/>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3.成交通知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3.2采购人同时在江苏师范大学招投标网（http://ztbb.jsnu.edu.cn）发布成交信息。采购人对未成交的投标人不做未成交原因的解释。</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3.3成交通知书是合同的组成部分。</w:t>
      </w:r>
    </w:p>
    <w:p>
      <w:pPr>
        <w:pStyle w:val="24"/>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4.签订合同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4.2成交人应按照采购文件、投标文件及评审过程中有关的澄清说明或补正文件的内容与采购人签订合同。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4.3投标人一旦成交，签订合同后不得分包或转包，否则将被视为成交后撤回投标处理。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成交后无正当理由拒不与采购人签订采购合同或不按约定签订或履行合同，采购人将其失信行为列入不良记录并报省财政厅备案，且3年内禁止在我校参与招投标活动。</w:t>
      </w:r>
    </w:p>
    <w:p>
      <w:pPr>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4.6 合同主要条款详见“磋商公告附件”。</w:t>
      </w:r>
    </w:p>
    <w:p>
      <w:pPr>
        <w:ind w:firstLine="482" w:firstLineChars="200"/>
        <w:rPr>
          <w:rFonts w:ascii="宋体" w:hAnsi="宋体"/>
          <w:b/>
          <w:sz w:val="24"/>
          <w:shd w:val="clear" w:color="auto" w:fill="FFC000"/>
        </w:rPr>
      </w:pPr>
    </w:p>
    <w:p>
      <w:pPr>
        <w:pStyle w:val="26"/>
        <w:spacing w:before="0" w:line="340" w:lineRule="exact"/>
        <w:ind w:firstLine="361" w:firstLineChars="15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六、询问和质疑</w:t>
      </w:r>
    </w:p>
    <w:p>
      <w:pPr>
        <w:pStyle w:val="24"/>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1.投标人有权就招标程序或签订合同的事宜提出质疑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1.4质疑投标人对采购人或对采购人的答复不满意，或采购人未在规定的时间内做出答复的，可以在答复期满后15个工作日内向江苏师范大学有关监督部门投诉。</w:t>
      </w:r>
    </w:p>
    <w:p>
      <w:pPr>
        <w:spacing w:line="340" w:lineRule="exact"/>
        <w:ind w:firstLine="480" w:firstLineChars="200"/>
        <w:rPr>
          <w:rFonts w:cs="华文楷体" w:asciiTheme="minorEastAsia" w:hAnsiTheme="minorEastAsia" w:eastAsiaTheme="minorEastAsia"/>
          <w:color w:val="000000" w:themeColor="text1"/>
          <w:sz w:val="24"/>
        </w:rPr>
      </w:pPr>
    </w:p>
    <w:p>
      <w:pPr>
        <w:pStyle w:val="26"/>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七、保密和披露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2.投标人自领取采购文件之日起，须承诺承担本招标项目下的保密义务，不得将因本次招标获得的信息向第三人外传。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3.采购人有权将投标人提供的所有资料向其他政府部门或有关的非政府机构负责评审投标文件的人员或与评审有关的人员披露。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pPr>
        <w:spacing w:line="340" w:lineRule="exact"/>
        <w:ind w:firstLine="480" w:firstLineChars="200"/>
        <w:rPr>
          <w:rFonts w:cs="华文楷体" w:asciiTheme="minorEastAsia" w:hAnsiTheme="minorEastAsia" w:eastAsiaTheme="minorEastAsia"/>
          <w:color w:val="000000" w:themeColor="text1"/>
          <w:sz w:val="24"/>
        </w:rPr>
      </w:pPr>
    </w:p>
    <w:p>
      <w:pPr>
        <w:pStyle w:val="26"/>
        <w:spacing w:before="0" w:line="340" w:lineRule="exact"/>
        <w:ind w:firstLine="482" w:firstLineChars="200"/>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八、无效标书的判定</w:t>
      </w: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投标文件有下列情况之一的，应作为无效投标文件，不再参加评标：</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投标文件中的投标函未加盖投标人的公章的，或者企业法定代表人委托代理人没有合法、有效的委托书（原件）或委托书无委托代理人签字或印章的。</w:t>
      </w:r>
    </w:p>
    <w:p>
      <w:pPr>
        <w:numPr>
          <w:ilvl w:val="0"/>
          <w:numId w:val="3"/>
        </w:numPr>
        <w:ind w:left="0" w:firstLine="480" w:firstLineChars="200"/>
        <w:rPr>
          <w:rFonts w:ascii="宋体" w:hAnsi="宋体"/>
          <w:sz w:val="24"/>
        </w:rPr>
      </w:pPr>
      <w:r>
        <w:rPr>
          <w:rFonts w:hint="eastAsia" w:ascii="宋体" w:hAnsi="宋体"/>
          <w:sz w:val="24"/>
        </w:rPr>
        <w:t>未按采购文件要求缴纳相关费用的。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未按采购文件规定的格式填写，内容不全或关键字模糊、无法辨认的。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投标人名称或组织机构等与原件不一致的。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投标人未通过资格审查和符合性审查的。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投标人资格条件不符合国家有关规定或磋商文件要求的。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明显不符合技术规范、技术标准的要求。</w:t>
      </w:r>
    </w:p>
    <w:p>
      <w:pPr>
        <w:numPr>
          <w:ilvl w:val="0"/>
          <w:numId w:val="3"/>
        </w:numPr>
        <w:spacing w:line="360" w:lineRule="exact"/>
        <w:ind w:left="0" w:firstLine="480" w:firstLineChars="200"/>
        <w:rPr>
          <w:rFonts w:ascii="宋体" w:hAnsi="宋体" w:cs="楷体"/>
          <w:sz w:val="24"/>
          <w:shd w:val="clear" w:color="auto" w:fill="FFFFFF" w:themeFill="background1"/>
        </w:rPr>
      </w:pPr>
      <w:r>
        <w:rPr>
          <w:rFonts w:hint="eastAsia" w:ascii="宋体" w:hAnsi="宋体" w:cs="楷体"/>
          <w:sz w:val="24"/>
        </w:rPr>
        <w:t>投标报价超过磋商文件规</w:t>
      </w:r>
      <w:r>
        <w:rPr>
          <w:rFonts w:hint="eastAsia" w:ascii="宋体" w:hAnsi="宋体" w:cs="楷体"/>
          <w:sz w:val="24"/>
          <w:shd w:val="clear" w:color="auto" w:fill="FFFFFF" w:themeFill="background1"/>
        </w:rPr>
        <w:t>定的最高限价的。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不同投标人的投标文件出现了评标小组认为不应当雷同的情况。</w:t>
      </w:r>
    </w:p>
    <w:p>
      <w:pPr>
        <w:spacing w:line="360" w:lineRule="exact"/>
        <w:ind w:left="480"/>
        <w:rPr>
          <w:rFonts w:ascii="宋体" w:hAnsi="宋体" w:cs="楷体"/>
          <w:sz w:val="24"/>
        </w:rPr>
      </w:pPr>
      <w:r>
        <w:rPr>
          <w:rFonts w:hint="eastAsia" w:ascii="宋体" w:hAnsi="宋体" w:cs="楷体"/>
          <w:sz w:val="24"/>
        </w:rPr>
        <w:t>10.投标文件提出了不能满足磋商文件要求或采购人不能接受的支付办法。</w:t>
      </w:r>
    </w:p>
    <w:p>
      <w:pPr>
        <w:spacing w:line="360" w:lineRule="exact"/>
        <w:ind w:left="480"/>
        <w:rPr>
          <w:rFonts w:ascii="宋体" w:hAnsi="宋体" w:cs="楷体"/>
          <w:sz w:val="24"/>
        </w:rPr>
      </w:pPr>
      <w:r>
        <w:rPr>
          <w:rFonts w:hint="eastAsia" w:ascii="宋体" w:hAnsi="宋体" w:cs="楷体"/>
          <w:sz w:val="24"/>
        </w:rPr>
        <w:t>11.串通投标、以行贿手段谋取中标或者以其他弄虚作假方式投标的。</w:t>
      </w:r>
    </w:p>
    <w:p>
      <w:pPr>
        <w:widowControl/>
        <w:jc w:val="left"/>
        <w:rPr>
          <w:rFonts w:cs="华文楷体" w:asciiTheme="minorEastAsia" w:hAnsiTheme="minorEastAsia" w:eastAsiaTheme="minorEastAsia"/>
          <w:color w:val="000000" w:themeColor="text1"/>
          <w:sz w:val="24"/>
        </w:rPr>
      </w:pPr>
      <w:r>
        <w:rPr>
          <w:rFonts w:cs="华文楷体" w:asciiTheme="minorEastAsia" w:hAnsiTheme="minorEastAsia" w:eastAsiaTheme="minorEastAsia"/>
          <w:color w:val="000000" w:themeColor="text1"/>
          <w:sz w:val="24"/>
        </w:rPr>
        <w:br w:type="page"/>
      </w:r>
    </w:p>
    <w:p>
      <w:pPr>
        <w:spacing w:line="340" w:lineRule="exact"/>
        <w:ind w:firstLine="562" w:firstLineChars="200"/>
        <w:jc w:val="center"/>
        <w:rPr>
          <w:rFonts w:cs="华文楷体" w:asciiTheme="minorEastAsia" w:hAnsiTheme="minorEastAsia" w:eastAsiaTheme="minorEastAsia"/>
          <w:b/>
          <w:bCs/>
          <w:color w:val="000000" w:themeColor="text1"/>
          <w:kern w:val="44"/>
          <w:sz w:val="28"/>
          <w:szCs w:val="28"/>
        </w:rPr>
      </w:pPr>
      <w:r>
        <w:rPr>
          <w:rFonts w:hint="eastAsia" w:cs="华文楷体" w:asciiTheme="minorEastAsia" w:hAnsiTheme="minorEastAsia" w:eastAsiaTheme="minorEastAsia"/>
          <w:b/>
          <w:bCs/>
          <w:color w:val="000000" w:themeColor="text1"/>
          <w:kern w:val="44"/>
          <w:sz w:val="28"/>
          <w:szCs w:val="28"/>
        </w:rPr>
        <w:t>第二章项目概况及主要技术要求</w:t>
      </w:r>
    </w:p>
    <w:p>
      <w:pPr>
        <w:spacing w:line="340" w:lineRule="exact"/>
        <w:ind w:firstLine="562" w:firstLineChars="200"/>
        <w:jc w:val="center"/>
        <w:rPr>
          <w:rFonts w:cs="华文楷体" w:asciiTheme="minorEastAsia" w:hAnsiTheme="minorEastAsia" w:eastAsiaTheme="minorEastAsia"/>
          <w:b/>
          <w:bCs/>
          <w:color w:val="000000" w:themeColor="text1"/>
          <w:kern w:val="44"/>
          <w:sz w:val="28"/>
          <w:szCs w:val="28"/>
        </w:rPr>
      </w:pPr>
    </w:p>
    <w:p>
      <w:pPr>
        <w:pStyle w:val="24"/>
        <w:numPr>
          <w:ilvl w:val="0"/>
          <w:numId w:val="0"/>
        </w:numPr>
        <w:tabs>
          <w:tab w:val="left" w:pos="0"/>
          <w:tab w:val="left" w:pos="142"/>
          <w:tab w:val="clear" w:pos="709"/>
        </w:tabs>
        <w:spacing w:line="340" w:lineRule="exact"/>
        <w:rPr>
          <w:rFonts w:hint="eastAsia" w:cs="楷体"/>
          <w:b/>
          <w:bCs/>
          <w:sz w:val="24"/>
        </w:rPr>
      </w:pPr>
      <w:r>
        <w:rPr>
          <w:rFonts w:hint="eastAsia" w:cs="楷体"/>
          <w:b/>
          <w:bCs/>
          <w:sz w:val="24"/>
        </w:rPr>
        <w:t>一、</w:t>
      </w:r>
      <w:r>
        <w:rPr>
          <w:rFonts w:hint="eastAsia" w:cs="楷体"/>
          <w:b/>
          <w:bCs/>
          <w:sz w:val="24"/>
          <w:lang w:val="en-US" w:eastAsia="zh-CN"/>
        </w:rPr>
        <w:t>采购内容</w:t>
      </w:r>
      <w:r>
        <w:rPr>
          <w:rFonts w:hint="eastAsia" w:cs="楷体"/>
          <w:b/>
          <w:bCs/>
          <w:sz w:val="24"/>
        </w:rPr>
        <w:t>：</w:t>
      </w:r>
    </w:p>
    <w:tbl>
      <w:tblPr>
        <w:tblStyle w:val="14"/>
        <w:tblpPr w:leftFromText="180" w:rightFromText="180" w:vertAnchor="text" w:horzAnchor="page" w:tblpX="1825" w:tblpY="280"/>
        <w:tblOverlap w:val="never"/>
        <w:tblW w:w="85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26"/>
        <w:gridCol w:w="4395"/>
        <w:gridCol w:w="1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序号</w:t>
            </w:r>
          </w:p>
        </w:tc>
        <w:tc>
          <w:tcPr>
            <w:tcW w:w="2126" w:type="dxa"/>
            <w:vAlign w:val="center"/>
          </w:tcPr>
          <w:p>
            <w:pPr>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货物名称</w:t>
            </w:r>
          </w:p>
        </w:tc>
        <w:tc>
          <w:tcPr>
            <w:tcW w:w="4395" w:type="dxa"/>
            <w:vAlign w:val="center"/>
          </w:tcPr>
          <w:p>
            <w:pPr>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规格（mm）</w:t>
            </w:r>
          </w:p>
        </w:tc>
        <w:tc>
          <w:tcPr>
            <w:tcW w:w="1334" w:type="dxa"/>
            <w:vAlign w:val="center"/>
          </w:tcPr>
          <w:p>
            <w:pPr>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数量（m³）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126"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智能移动存放架</w:t>
            </w:r>
          </w:p>
        </w:tc>
        <w:tc>
          <w:tcPr>
            <w:tcW w:w="439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6000*650*2850*10列,6组1列，11层</w:t>
            </w:r>
          </w:p>
        </w:tc>
        <w:tc>
          <w:tcPr>
            <w:tcW w:w="13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111.15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126"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智能移动存放架</w:t>
            </w:r>
          </w:p>
        </w:tc>
        <w:tc>
          <w:tcPr>
            <w:tcW w:w="4395"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6000*570*2850*9列,6组1列，8层</w:t>
            </w:r>
          </w:p>
        </w:tc>
        <w:tc>
          <w:tcPr>
            <w:tcW w:w="13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87.72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3</w:t>
            </w:r>
          </w:p>
        </w:tc>
        <w:tc>
          <w:tcPr>
            <w:tcW w:w="2126"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书梯</w:t>
            </w:r>
          </w:p>
        </w:tc>
        <w:tc>
          <w:tcPr>
            <w:tcW w:w="4395"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四层</w:t>
            </w:r>
          </w:p>
        </w:tc>
        <w:tc>
          <w:tcPr>
            <w:tcW w:w="1334"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2部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4</w:t>
            </w:r>
          </w:p>
        </w:tc>
        <w:tc>
          <w:tcPr>
            <w:tcW w:w="2126"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智能恒湿一体机</w:t>
            </w:r>
          </w:p>
        </w:tc>
        <w:tc>
          <w:tcPr>
            <w:tcW w:w="4395"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90L</w:t>
            </w:r>
          </w:p>
        </w:tc>
        <w:tc>
          <w:tcPr>
            <w:tcW w:w="1334"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台</w:t>
            </w:r>
          </w:p>
        </w:tc>
      </w:tr>
    </w:tbl>
    <w:p/>
    <w:p>
      <w:pPr>
        <w:pStyle w:val="24"/>
        <w:numPr>
          <w:ilvl w:val="0"/>
          <w:numId w:val="4"/>
        </w:numPr>
        <w:tabs>
          <w:tab w:val="left" w:pos="0"/>
          <w:tab w:val="left" w:pos="142"/>
          <w:tab w:val="clear" w:pos="709"/>
        </w:tabs>
        <w:spacing w:line="340" w:lineRule="exact"/>
        <w:rPr>
          <w:rFonts w:hint="eastAsia" w:cs="楷体"/>
          <w:b/>
          <w:bCs/>
          <w:sz w:val="24"/>
          <w:lang w:val="en-US" w:eastAsia="zh-CN"/>
        </w:rPr>
      </w:pPr>
      <w:r>
        <w:rPr>
          <w:rFonts w:hint="eastAsia" w:cs="楷体"/>
          <w:b/>
          <w:bCs/>
          <w:sz w:val="24"/>
          <w:lang w:val="en-US" w:eastAsia="zh-CN"/>
        </w:rPr>
        <w:t>技术要求：</w:t>
      </w:r>
    </w:p>
    <w:p>
      <w:pPr>
        <w:pStyle w:val="24"/>
        <w:numPr>
          <w:numId w:val="0"/>
        </w:numPr>
        <w:tabs>
          <w:tab w:val="left" w:pos="0"/>
          <w:tab w:val="left" w:pos="142"/>
          <w:tab w:val="clear" w:pos="709"/>
        </w:tabs>
        <w:spacing w:line="340" w:lineRule="exact"/>
        <w:ind w:leftChars="0"/>
        <w:rPr>
          <w:rFonts w:hint="eastAsia" w:cs="楷体"/>
          <w:b/>
          <w:bCs/>
          <w:sz w:val="24"/>
          <w:lang w:val="en-US" w:eastAsia="zh-CN"/>
        </w:rPr>
      </w:pPr>
    </w:p>
    <w:p>
      <w:pPr>
        <w:ind w:firstLine="211" w:firstLineChars="100"/>
        <w:rPr>
          <w:b/>
        </w:rPr>
      </w:pPr>
      <w:r>
        <w:rPr>
          <w:rFonts w:hint="eastAsia"/>
          <w:b/>
        </w:rPr>
        <w:t>（一）轨道技术要求</w:t>
      </w:r>
    </w:p>
    <w:p>
      <w:pPr>
        <w:ind w:firstLine="210" w:firstLineChars="100"/>
      </w:pPr>
      <w:r>
        <w:rPr>
          <w:rFonts w:hint="eastAsia"/>
        </w:rPr>
        <w:t>密集架轨道需由导轨、轨道座</w:t>
      </w:r>
      <w:r>
        <w:t>塞焊</w:t>
      </w:r>
      <w:r>
        <w:rPr>
          <w:rFonts w:hint="eastAsia"/>
        </w:rPr>
        <w:t>成形，</w:t>
      </w:r>
      <w:r>
        <w:t>分段</w:t>
      </w:r>
      <w:r>
        <w:rPr>
          <w:rFonts w:hint="eastAsia"/>
        </w:rPr>
        <w:t>凹凸</w:t>
      </w:r>
      <w:r>
        <w:t>连接，</w:t>
      </w:r>
      <w:r>
        <w:rPr>
          <w:rFonts w:hint="eastAsia"/>
          <w:bCs/>
        </w:rPr>
        <w:t>两端需设限位装置，防止底盘脱轨</w:t>
      </w:r>
      <w:r>
        <w:rPr>
          <w:rFonts w:hint="eastAsia"/>
        </w:rPr>
        <w:t>。</w:t>
      </w:r>
      <w:r>
        <w:rPr>
          <w:rFonts w:hint="eastAsia"/>
          <w:b/>
          <w:bCs/>
          <w:color w:val="auto"/>
        </w:rPr>
        <w:t>轨道需采用预埋式</w:t>
      </w:r>
      <w:r>
        <w:rPr>
          <w:rFonts w:hint="eastAsia"/>
        </w:rPr>
        <w:t>，轨道两端应设有限位装置，防止书架脱轨。根据单排密集书架节数，轨道数量须符合以下要求：1—3节至少用2根，4—5节至少用3根，6—7节至少用4根，8节以上的至少用5根。性能要求和相关技术参数见下表：</w:t>
      </w:r>
    </w:p>
    <w:tbl>
      <w:tblPr>
        <w:tblStyle w:val="14"/>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36"/>
        <w:gridCol w:w="974"/>
        <w:gridCol w:w="1131"/>
        <w:gridCol w:w="1155"/>
        <w:gridCol w:w="1276"/>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1436" w:type="dxa"/>
            <w:noWrap/>
            <w:vAlign w:val="center"/>
          </w:tcPr>
          <w:p>
            <w:pPr>
              <w:ind w:firstLine="211" w:firstLineChars="100"/>
              <w:rPr>
                <w:b/>
              </w:rPr>
            </w:pPr>
            <w:r>
              <w:rPr>
                <w:rFonts w:hint="eastAsia"/>
                <w:b/>
              </w:rPr>
              <w:t>部件名称</w:t>
            </w:r>
          </w:p>
        </w:tc>
        <w:tc>
          <w:tcPr>
            <w:tcW w:w="974" w:type="dxa"/>
            <w:noWrap/>
            <w:vAlign w:val="center"/>
          </w:tcPr>
          <w:p>
            <w:pPr>
              <w:ind w:firstLine="211" w:firstLineChars="100"/>
              <w:rPr>
                <w:b/>
              </w:rPr>
            </w:pPr>
            <w:r>
              <w:rPr>
                <w:rFonts w:hint="eastAsia"/>
                <w:b/>
              </w:rPr>
              <w:t>配置</w:t>
            </w:r>
          </w:p>
        </w:tc>
        <w:tc>
          <w:tcPr>
            <w:tcW w:w="1131" w:type="dxa"/>
            <w:noWrap/>
            <w:vAlign w:val="center"/>
          </w:tcPr>
          <w:p>
            <w:pPr>
              <w:rPr>
                <w:b/>
              </w:rPr>
            </w:pPr>
            <w:r>
              <w:rPr>
                <w:rFonts w:hint="eastAsia"/>
                <w:b/>
              </w:rPr>
              <w:t>材料要求</w:t>
            </w:r>
          </w:p>
        </w:tc>
        <w:tc>
          <w:tcPr>
            <w:tcW w:w="1155" w:type="dxa"/>
            <w:noWrap/>
            <w:vAlign w:val="center"/>
          </w:tcPr>
          <w:p>
            <w:pPr>
              <w:rPr>
                <w:b/>
              </w:rPr>
            </w:pPr>
            <w:r>
              <w:rPr>
                <w:rFonts w:hint="eastAsia"/>
                <w:b/>
              </w:rPr>
              <w:t>采用标准</w:t>
            </w:r>
          </w:p>
        </w:tc>
        <w:tc>
          <w:tcPr>
            <w:tcW w:w="1276" w:type="dxa"/>
            <w:noWrap/>
            <w:vAlign w:val="center"/>
          </w:tcPr>
          <w:p>
            <w:pPr>
              <w:ind w:firstLine="211" w:firstLineChars="100"/>
              <w:rPr>
                <w:b/>
              </w:rPr>
            </w:pPr>
            <w:r>
              <w:rPr>
                <w:rFonts w:hint="eastAsia"/>
                <w:b/>
              </w:rPr>
              <w:t>技术参数</w:t>
            </w:r>
          </w:p>
        </w:tc>
        <w:tc>
          <w:tcPr>
            <w:tcW w:w="3806" w:type="dxa"/>
            <w:noWrap/>
            <w:vAlign w:val="center"/>
          </w:tcPr>
          <w:p>
            <w:pPr>
              <w:ind w:firstLine="211" w:firstLineChars="100"/>
              <w:rPr>
                <w:b/>
              </w:rPr>
            </w:pPr>
            <w:r>
              <w:rPr>
                <w:rFonts w:hint="eastAsia"/>
                <w:b/>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436" w:type="dxa"/>
            <w:vMerge w:val="restart"/>
            <w:noWrap/>
            <w:vAlign w:val="center"/>
          </w:tcPr>
          <w:p>
            <w:pPr>
              <w:ind w:firstLine="210" w:firstLineChars="100"/>
              <w:rPr>
                <w:highlight w:val="none"/>
              </w:rPr>
            </w:pPr>
            <w:r>
              <w:rPr>
                <w:rFonts w:hint="eastAsia"/>
                <w:highlight w:val="none"/>
              </w:rPr>
              <w:t>密集架轨道</w:t>
            </w:r>
          </w:p>
        </w:tc>
        <w:tc>
          <w:tcPr>
            <w:tcW w:w="974" w:type="dxa"/>
            <w:noWrap/>
            <w:vAlign w:val="center"/>
          </w:tcPr>
          <w:p>
            <w:pPr>
              <w:ind w:firstLine="210" w:firstLineChars="100"/>
              <w:rPr>
                <w:highlight w:val="none"/>
              </w:rPr>
            </w:pPr>
            <w:r>
              <w:rPr>
                <w:rFonts w:hint="eastAsia"/>
                <w:highlight w:val="none"/>
              </w:rPr>
              <w:t>导轨</w:t>
            </w:r>
          </w:p>
        </w:tc>
        <w:tc>
          <w:tcPr>
            <w:tcW w:w="1131" w:type="dxa"/>
            <w:noWrap/>
            <w:vAlign w:val="center"/>
          </w:tcPr>
          <w:p>
            <w:pPr>
              <w:rPr>
                <w:highlight w:val="none"/>
              </w:rPr>
            </w:pPr>
            <w:r>
              <w:rPr>
                <w:rFonts w:hint="eastAsia"/>
                <w:highlight w:val="none"/>
              </w:rPr>
              <w:t>实心方钢</w:t>
            </w:r>
          </w:p>
        </w:tc>
        <w:tc>
          <w:tcPr>
            <w:tcW w:w="1155" w:type="dxa"/>
            <w:noWrap/>
            <w:vAlign w:val="center"/>
          </w:tcPr>
          <w:p>
            <w:pPr>
              <w:ind w:firstLine="210" w:firstLineChars="100"/>
              <w:rPr>
                <w:highlight w:val="none"/>
              </w:rPr>
            </w:pPr>
            <w:r>
              <w:rPr>
                <w:rFonts w:hint="eastAsia"/>
                <w:highlight w:val="none"/>
              </w:rPr>
              <w:t>GB 699</w:t>
            </w:r>
          </w:p>
        </w:tc>
        <w:tc>
          <w:tcPr>
            <w:tcW w:w="1276" w:type="dxa"/>
            <w:noWrap/>
            <w:vAlign w:val="center"/>
          </w:tcPr>
          <w:p>
            <w:pPr>
              <w:ind w:firstLine="210" w:firstLineChars="100"/>
              <w:rPr>
                <w:highlight w:val="none"/>
              </w:rPr>
            </w:pPr>
            <w:r>
              <w:rPr>
                <w:rFonts w:hint="eastAsia"/>
                <w:highlight w:val="none"/>
              </w:rPr>
              <w:t>δ≥20*20mm</w:t>
            </w:r>
          </w:p>
        </w:tc>
        <w:tc>
          <w:tcPr>
            <w:tcW w:w="3806" w:type="dxa"/>
            <w:noWrap/>
            <w:vAlign w:val="center"/>
          </w:tcPr>
          <w:p>
            <w:pPr>
              <w:ind w:firstLine="210" w:firstLineChars="100"/>
              <w:rPr>
                <w:highlight w:val="none"/>
              </w:rPr>
            </w:pPr>
            <w:r>
              <w:rPr>
                <w:rFonts w:hint="eastAsia"/>
                <w:highlight w:val="none"/>
              </w:rPr>
              <w:t>镀锌处理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4" w:hRule="atLeast"/>
          <w:jc w:val="center"/>
        </w:trPr>
        <w:tc>
          <w:tcPr>
            <w:tcW w:w="1436" w:type="dxa"/>
            <w:vMerge w:val="continue"/>
            <w:noWrap/>
            <w:vAlign w:val="center"/>
          </w:tcPr>
          <w:p>
            <w:pPr>
              <w:ind w:firstLine="210" w:firstLineChars="100"/>
              <w:rPr>
                <w:highlight w:val="none"/>
              </w:rPr>
            </w:pPr>
          </w:p>
        </w:tc>
        <w:tc>
          <w:tcPr>
            <w:tcW w:w="974" w:type="dxa"/>
            <w:noWrap/>
            <w:vAlign w:val="center"/>
          </w:tcPr>
          <w:p>
            <w:pPr>
              <w:ind w:firstLine="210" w:firstLineChars="100"/>
              <w:rPr>
                <w:highlight w:val="none"/>
              </w:rPr>
            </w:pPr>
            <w:r>
              <w:rPr>
                <w:rFonts w:hint="eastAsia"/>
                <w:highlight w:val="none"/>
              </w:rPr>
              <w:t>轨道座</w:t>
            </w:r>
          </w:p>
        </w:tc>
        <w:tc>
          <w:tcPr>
            <w:tcW w:w="1131" w:type="dxa"/>
            <w:noWrap/>
            <w:vAlign w:val="center"/>
          </w:tcPr>
          <w:p>
            <w:pPr>
              <w:rPr>
                <w:highlight w:val="none"/>
              </w:rPr>
            </w:pPr>
            <w:r>
              <w:rPr>
                <w:rFonts w:hint="eastAsia"/>
                <w:highlight w:val="none"/>
              </w:rPr>
              <w:t>冷轧钢板</w:t>
            </w:r>
          </w:p>
        </w:tc>
        <w:tc>
          <w:tcPr>
            <w:tcW w:w="1155" w:type="dxa"/>
            <w:noWrap/>
            <w:vAlign w:val="center"/>
          </w:tcPr>
          <w:p>
            <w:pPr>
              <w:ind w:firstLine="210" w:firstLineChars="100"/>
              <w:rPr>
                <w:highlight w:val="none"/>
              </w:rPr>
            </w:pPr>
            <w:r>
              <w:rPr>
                <w:rFonts w:hint="eastAsia"/>
                <w:highlight w:val="none"/>
              </w:rPr>
              <w:t>GB 708</w:t>
            </w:r>
          </w:p>
        </w:tc>
        <w:tc>
          <w:tcPr>
            <w:tcW w:w="1276" w:type="dxa"/>
            <w:noWrap/>
            <w:vAlign w:val="center"/>
          </w:tcPr>
          <w:p>
            <w:pPr>
              <w:ind w:firstLine="210" w:firstLineChars="100"/>
              <w:rPr>
                <w:highlight w:val="none"/>
              </w:rPr>
            </w:pPr>
            <w:r>
              <w:rPr>
                <w:rFonts w:hint="eastAsia"/>
                <w:highlight w:val="none"/>
              </w:rPr>
              <w:t>δ≥3.0mm</w:t>
            </w:r>
          </w:p>
        </w:tc>
        <w:tc>
          <w:tcPr>
            <w:tcW w:w="3806" w:type="dxa"/>
            <w:noWrap/>
            <w:vAlign w:val="center"/>
          </w:tcPr>
          <w:p>
            <w:pPr>
              <w:ind w:firstLine="210" w:firstLineChars="100"/>
              <w:rPr>
                <w:highlight w:val="none"/>
              </w:rPr>
            </w:pPr>
            <w:r>
              <w:rPr>
                <w:rFonts w:hint="eastAsia"/>
                <w:highlight w:val="none"/>
              </w:rPr>
              <w:t>涂层应光滑均匀，色泽一致，应无挂流、疙瘩、皱皮、飞漆等缺陷；涂层硬度≥2H；冲击强度5N·m应无剥落、裂纹、皱纹；120h中性盐雾试验不低于9级；可溶性元素（铅、镉、铬、汞）符合要求。提供</w:t>
            </w:r>
            <w:r>
              <w:rPr>
                <w:rFonts w:hint="eastAsia"/>
                <w:b/>
                <w:bCs/>
                <w:highlight w:val="none"/>
              </w:rPr>
              <w:t>具有CMA及CNAS标识的检验检测报告复印件作为评审依据，同时在检验检测报告中须能反映且满足上述参数要求。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1436" w:type="dxa"/>
            <w:noWrap/>
            <w:vAlign w:val="center"/>
          </w:tcPr>
          <w:p>
            <w:pPr>
              <w:ind w:firstLine="210" w:firstLineChars="100"/>
              <w:rPr>
                <w:highlight w:val="none"/>
              </w:rPr>
            </w:pPr>
            <w:r>
              <w:rPr>
                <w:rFonts w:hint="eastAsia"/>
                <w:highlight w:val="none"/>
              </w:rPr>
              <w:t>轨道封头</w:t>
            </w:r>
          </w:p>
        </w:tc>
        <w:tc>
          <w:tcPr>
            <w:tcW w:w="974" w:type="dxa"/>
            <w:noWrap/>
            <w:vAlign w:val="center"/>
          </w:tcPr>
          <w:p>
            <w:pPr>
              <w:rPr>
                <w:highlight w:val="none"/>
              </w:rPr>
            </w:pPr>
            <w:r>
              <w:rPr>
                <w:rFonts w:hint="eastAsia"/>
                <w:highlight w:val="none"/>
              </w:rPr>
              <w:t>不锈钢限位装置</w:t>
            </w:r>
          </w:p>
        </w:tc>
        <w:tc>
          <w:tcPr>
            <w:tcW w:w="1131" w:type="dxa"/>
            <w:noWrap/>
            <w:vAlign w:val="center"/>
          </w:tcPr>
          <w:p>
            <w:pPr>
              <w:rPr>
                <w:highlight w:val="none"/>
              </w:rPr>
            </w:pPr>
            <w:r>
              <w:rPr>
                <w:rFonts w:hint="eastAsia"/>
                <w:highlight w:val="none"/>
              </w:rPr>
              <w:t>304不锈钢</w:t>
            </w:r>
          </w:p>
        </w:tc>
        <w:tc>
          <w:tcPr>
            <w:tcW w:w="1155" w:type="dxa"/>
            <w:noWrap/>
            <w:vAlign w:val="center"/>
          </w:tcPr>
          <w:p>
            <w:pPr>
              <w:ind w:firstLine="210" w:firstLineChars="100"/>
              <w:rPr>
                <w:highlight w:val="none"/>
              </w:rPr>
            </w:pPr>
            <w:r>
              <w:rPr>
                <w:rFonts w:hint="eastAsia"/>
                <w:highlight w:val="none"/>
              </w:rPr>
              <w:t>GB 3280</w:t>
            </w:r>
          </w:p>
        </w:tc>
        <w:tc>
          <w:tcPr>
            <w:tcW w:w="1276" w:type="dxa"/>
            <w:noWrap/>
            <w:vAlign w:val="center"/>
          </w:tcPr>
          <w:p>
            <w:pPr>
              <w:ind w:firstLine="210" w:firstLineChars="100"/>
              <w:rPr>
                <w:highlight w:val="none"/>
              </w:rPr>
            </w:pPr>
            <w:r>
              <w:rPr>
                <w:rFonts w:hint="eastAsia"/>
                <w:highlight w:val="none"/>
              </w:rPr>
              <w:t>δ≥25*30mm</w:t>
            </w:r>
          </w:p>
        </w:tc>
        <w:tc>
          <w:tcPr>
            <w:tcW w:w="3806" w:type="dxa"/>
            <w:noWrap/>
            <w:vAlign w:val="center"/>
          </w:tcPr>
          <w:p>
            <w:pPr>
              <w:ind w:firstLine="210" w:firstLineChars="100"/>
              <w:rPr>
                <w:highlight w:val="none"/>
              </w:rPr>
            </w:pPr>
            <w:r>
              <w:rPr>
                <w:rFonts w:hint="eastAsia"/>
                <w:highlight w:val="none"/>
              </w:rPr>
              <w:t>塑性延伸强度：≥235Mpa，抗拉强度：≥500Mpa，断后伸长率：≥40%。提供</w:t>
            </w:r>
            <w:r>
              <w:rPr>
                <w:rFonts w:hint="eastAsia"/>
                <w:b/>
                <w:bCs/>
                <w:highlight w:val="none"/>
              </w:rPr>
              <w:t>具有CMA及CNAS标识的检验检测报告复印件作为评审依据，同时在检验检测报告中须能反映且满足上述参数要求</w:t>
            </w:r>
            <w:r>
              <w:rPr>
                <w:rFonts w:hint="eastAsia"/>
                <w:highlight w:val="none"/>
              </w:rPr>
              <w:t>。</w:t>
            </w:r>
          </w:p>
        </w:tc>
      </w:tr>
    </w:tbl>
    <w:p>
      <w:pPr>
        <w:ind w:firstLine="211" w:firstLineChars="100"/>
        <w:rPr>
          <w:rFonts w:hint="eastAsia"/>
          <w:b/>
        </w:rPr>
      </w:pPr>
      <w:r>
        <w:rPr>
          <w:rFonts w:hint="eastAsia"/>
          <w:b/>
        </w:rPr>
        <w:t>轨道预埋安装要求：</w:t>
      </w:r>
    </w:p>
    <w:p>
      <w:pPr>
        <w:ind w:firstLine="210" w:firstLineChars="100"/>
        <w:rPr>
          <w:highlight w:val="none"/>
        </w:rPr>
      </w:pPr>
      <w:r>
        <w:rPr>
          <w:rFonts w:hint="eastAsia"/>
          <w:highlight w:val="none"/>
        </w:rPr>
        <w:t>1、轨道沟槽标准：中标方按照用户确认的密集架布局图制订轨道沟槽安装方案，由中标方负责开凿沟槽。开凿沟槽时应保证对非轨道区域地面不造成损坏；</w:t>
      </w:r>
    </w:p>
    <w:p>
      <w:pPr>
        <w:ind w:firstLine="210" w:firstLineChars="100"/>
        <w:rPr>
          <w:highlight w:val="none"/>
        </w:rPr>
      </w:pPr>
      <w:r>
        <w:rPr>
          <w:rFonts w:hint="eastAsia"/>
          <w:highlight w:val="none"/>
        </w:rPr>
        <w:t>2、轨道安装需符合GB/T13667.3-2013《钢制书架 第3部分手动密集书架》中的相关规定；</w:t>
      </w:r>
    </w:p>
    <w:p>
      <w:pPr>
        <w:ind w:firstLine="210" w:firstLineChars="100"/>
        <w:rPr>
          <w:highlight w:val="none"/>
        </w:rPr>
      </w:pPr>
      <w:r>
        <w:rPr>
          <w:rFonts w:hint="eastAsia"/>
          <w:highlight w:val="none"/>
        </w:rPr>
        <w:t>3、安装过程与配合：具备安装条件后，中标供应商进行现场勘察划线并进行图纸汇签。按规定铺设轨道，轨道用膨胀螺丝固定在地面上，导轨护板上沿与装修地面齐平。轨道的平行偏差≤1mm，轨道之间任何位置的水平偏差≤0.5mm；同一截面上的平行度的偏差≤1.5mm/m，全长偏差≤2mm；对接处高低偏差≤0.3mm。全部轨道安装完毕后需经用户验收合格。沟槽安装费用包括在投标报价中。</w:t>
      </w:r>
    </w:p>
    <w:p>
      <w:pPr>
        <w:ind w:firstLine="211" w:firstLineChars="100"/>
        <w:rPr>
          <w:b/>
          <w:bCs/>
        </w:rPr>
      </w:pPr>
      <w:r>
        <w:rPr>
          <w:rFonts w:hint="eastAsia"/>
          <w:b/>
          <w:bCs/>
        </w:rPr>
        <w:t>（二）密集架及配套管理系统技术要求</w:t>
      </w:r>
    </w:p>
    <w:p>
      <w:pPr>
        <w:ind w:firstLine="210" w:firstLineChars="100"/>
      </w:pPr>
      <w:r>
        <w:rPr>
          <w:rFonts w:hint="eastAsia"/>
        </w:rPr>
        <w:t>依据国家档案局DA/T 7-92直列式档案密集架、DA/T 65—2017档案密集架智能管理系统技术要求国家档案局行业标准，GB/T 13667.3-2013 钢制书架 第3部分：手动密集书架、GB/T 13667.4-2013 钢制书架 第4部分：电动密集书架国家标准。除应满足上述规范标准之外，所提供的产品还应遵守普遍认可的国家标准和规范。规范标准有更新的依新版为准。</w:t>
      </w:r>
    </w:p>
    <w:p>
      <w:pPr>
        <w:numPr>
          <w:ilvl w:val="0"/>
          <w:numId w:val="0"/>
        </w:numPr>
        <w:ind w:leftChars="100"/>
        <w:rPr>
          <w:b/>
          <w:bCs/>
        </w:rPr>
      </w:pPr>
      <w:r>
        <w:rPr>
          <w:rFonts w:hint="eastAsia"/>
          <w:b/>
          <w:bCs/>
          <w:lang w:val="en-US" w:eastAsia="zh-CN"/>
        </w:rPr>
        <w:t>1.</w:t>
      </w:r>
      <w:r>
        <w:rPr>
          <w:rFonts w:hint="eastAsia"/>
          <w:b/>
          <w:bCs/>
        </w:rPr>
        <w:t>密集架架体技术要求：</w:t>
      </w:r>
    </w:p>
    <w:p>
      <w:pPr>
        <w:ind w:firstLine="210" w:firstLineChars="100"/>
      </w:pPr>
      <w:r>
        <w:rPr>
          <w:rFonts w:hint="eastAsia"/>
        </w:rPr>
        <w:t>密集架需采用全金属架体，板材必须采用符合国家相关标准的优质钢板，禁止使用非标准板材。密集架架体结构需为可拆、装现场组合式框架钢结构，应包含底盘、架体、面板、防尘板、目录槽、传动装置、防倒装置及密封装置等部分。架体部分性能要求和相关技术参数见下表：</w:t>
      </w:r>
    </w:p>
    <w:tbl>
      <w:tblPr>
        <w:tblStyle w:val="14"/>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709"/>
        <w:gridCol w:w="992"/>
        <w:gridCol w:w="851"/>
        <w:gridCol w:w="992"/>
        <w:gridCol w:w="1134"/>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567" w:type="dxa"/>
            <w:noWrap/>
            <w:vAlign w:val="center"/>
          </w:tcPr>
          <w:p>
            <w:r>
              <w:rPr>
                <w:rFonts w:hint="eastAsia"/>
              </w:rPr>
              <w:t>序号</w:t>
            </w:r>
          </w:p>
        </w:tc>
        <w:tc>
          <w:tcPr>
            <w:tcW w:w="709" w:type="dxa"/>
            <w:noWrap/>
            <w:vAlign w:val="center"/>
          </w:tcPr>
          <w:p>
            <w:pPr>
              <w:rPr>
                <w:rFonts w:hint="eastAsia" w:eastAsia="宋体"/>
                <w:lang w:eastAsia="zh-CN"/>
              </w:rPr>
            </w:pPr>
            <w:r>
              <w:rPr>
                <w:rFonts w:hint="eastAsia"/>
                <w:lang w:val="en-US" w:eastAsia="zh-CN"/>
              </w:rPr>
              <w:t>部件名称</w:t>
            </w:r>
          </w:p>
        </w:tc>
        <w:tc>
          <w:tcPr>
            <w:tcW w:w="992" w:type="dxa"/>
            <w:noWrap/>
            <w:vAlign w:val="center"/>
          </w:tcPr>
          <w:p>
            <w:pPr>
              <w:ind w:firstLine="210" w:firstLineChars="100"/>
            </w:pPr>
            <w:r>
              <w:rPr>
                <w:rFonts w:hint="eastAsia"/>
              </w:rPr>
              <w:t>配置</w:t>
            </w:r>
          </w:p>
        </w:tc>
        <w:tc>
          <w:tcPr>
            <w:tcW w:w="851" w:type="dxa"/>
            <w:noWrap/>
            <w:vAlign w:val="center"/>
          </w:tcPr>
          <w:p>
            <w:r>
              <w:rPr>
                <w:rFonts w:hint="eastAsia"/>
              </w:rPr>
              <w:t>材料要求</w:t>
            </w:r>
          </w:p>
        </w:tc>
        <w:tc>
          <w:tcPr>
            <w:tcW w:w="992" w:type="dxa"/>
            <w:noWrap/>
            <w:vAlign w:val="center"/>
          </w:tcPr>
          <w:p>
            <w:r>
              <w:rPr>
                <w:rFonts w:hint="eastAsia"/>
              </w:rPr>
              <w:t>采用标准</w:t>
            </w:r>
          </w:p>
        </w:tc>
        <w:tc>
          <w:tcPr>
            <w:tcW w:w="1134" w:type="dxa"/>
            <w:noWrap/>
            <w:vAlign w:val="center"/>
          </w:tcPr>
          <w:p>
            <w:r>
              <w:rPr>
                <w:rFonts w:hint="eastAsia"/>
              </w:rPr>
              <w:t>技术参数</w:t>
            </w:r>
          </w:p>
        </w:tc>
        <w:tc>
          <w:tcPr>
            <w:tcW w:w="4461" w:type="dxa"/>
            <w:noWrap/>
            <w:vAlign w:val="center"/>
          </w:tcPr>
          <w:p>
            <w:pPr>
              <w:ind w:firstLine="1260" w:firstLineChars="600"/>
            </w:pPr>
            <w:r>
              <w:rPr>
                <w:rFonts w:hint="eastAsia"/>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30" w:hRule="atLeast"/>
          <w:jc w:val="center"/>
        </w:trPr>
        <w:tc>
          <w:tcPr>
            <w:tcW w:w="567" w:type="dxa"/>
            <w:noWrap/>
            <w:vAlign w:val="center"/>
          </w:tcPr>
          <w:p>
            <w:pPr>
              <w:numPr>
                <w:ilvl w:val="0"/>
                <w:numId w:val="5"/>
              </w:numPr>
              <w:ind w:left="425" w:leftChars="0" w:hanging="425" w:firstLineChars="0"/>
              <w:jc w:val="both"/>
            </w:pPr>
          </w:p>
        </w:tc>
        <w:tc>
          <w:tcPr>
            <w:tcW w:w="709" w:type="dxa"/>
            <w:noWrap/>
            <w:vAlign w:val="center"/>
          </w:tcPr>
          <w:p>
            <w:r>
              <w:rPr>
                <w:rFonts w:hint="eastAsia"/>
              </w:rPr>
              <w:t>底盘</w:t>
            </w:r>
          </w:p>
        </w:tc>
        <w:tc>
          <w:tcPr>
            <w:tcW w:w="992" w:type="dxa"/>
            <w:noWrap/>
            <w:vAlign w:val="center"/>
          </w:tcPr>
          <w:p>
            <w:r>
              <w:rPr>
                <w:rFonts w:hint="eastAsia"/>
              </w:rPr>
              <w:t>纵梁、横梁、夹紧块</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noWrap/>
            <w:vAlign w:val="center"/>
          </w:tcPr>
          <w:p>
            <w:pPr>
              <w:ind w:firstLine="210" w:firstLineChars="100"/>
            </w:pPr>
            <w:r>
              <w:rPr>
                <w:rFonts w:hint="eastAsia"/>
              </w:rPr>
              <w:t>δ≥3.0mm</w:t>
            </w:r>
          </w:p>
        </w:tc>
        <w:tc>
          <w:tcPr>
            <w:tcW w:w="4461" w:type="dxa"/>
            <w:noWrap/>
            <w:vAlign w:val="center"/>
          </w:tcPr>
          <w:p>
            <w:pPr>
              <w:ind w:firstLine="420" w:firstLineChars="200"/>
              <w:rPr>
                <w:highlight w:val="none"/>
              </w:rPr>
            </w:pPr>
            <w:r>
              <w:rPr>
                <w:rFonts w:hint="eastAsia"/>
                <w:highlight w:val="none"/>
              </w:rPr>
              <w:t>分段焊接后整体组装式，成型高度≤150mm，保证整体刚性和精度，底部需安装防倾倒装置防止架体倾斜。底盘由纵梁、横梁等部件组成，横梁弯边≥40mm，底梁两端封头纵梁与横梁牢固焊接，在直角处上、下两平面均须焊上三角形加强板，有效保证架体不扭曲、错位、变形。轴承档须采用四折成型，设计为“</w:t>
            </w:r>
            <w:r>
              <w:rPr>
                <w:highlight w:val="none"/>
              </w:rPr>
              <w:object>
                <v:shape id="_x0000_i1025" o:spt="75" type="#_x0000_t75" style="height:8.4pt;width:16.2pt;" o:ole="t" filled="f" o:preferrelative="t" stroked="f" coordsize="21600,21600">
                  <v:path/>
                  <v:fill on="f" focussize="0,0"/>
                  <v:stroke on="f" joinstyle="miter"/>
                  <v:imagedata r:id="rId6" o:title=""/>
                  <o:lock v:ext="edit" aspectratio="t"/>
                  <w10:wrap type="none"/>
                  <w10:anchorlock/>
                </v:shape>
                <o:OLEObject Type="Embed" ProgID="AutoCAD.Drawing.16" ShapeID="_x0000_i1025" DrawAspect="Content" ObjectID="_1468075725" r:id="rId5">
                  <o:LockedField>false</o:LockedField>
                </o:OLEObject>
              </w:object>
            </w:r>
            <w:r>
              <w:rPr>
                <w:rFonts w:hint="eastAsia"/>
                <w:highlight w:val="none"/>
              </w:rPr>
              <w:t>”型，确保在外力作用下无任何变形情况发生。底盘各段组装时采用螺栓连接，成型后长期运行不松动不变形。</w:t>
            </w:r>
          </w:p>
          <w:p>
            <w:pPr>
              <w:ind w:firstLine="420" w:firstLineChars="200"/>
              <w:rPr>
                <w:highlight w:val="none"/>
              </w:rPr>
            </w:pPr>
            <w:r>
              <w:rPr>
                <w:rFonts w:hint="eastAsia"/>
                <w:highlight w:val="none"/>
              </w:rPr>
              <w:t>底盘须符合：金属涂层理化性能：硬度≥2H，涂层厚度60-130μm，120h中性盐雾试验不低于9级；表面涂层可溶性元素（可溶性铅、可溶性镉、可溶性铬、可溶性汞）符合要求。</w:t>
            </w:r>
            <w:r>
              <w:rPr>
                <w:rFonts w:hint="eastAsia"/>
                <w:b/>
                <w:bCs/>
                <w:highlight w:val="none"/>
              </w:rPr>
              <w:t>提供具有CMA或CNAS标识的检验检测报告复印件作为评审依据，同时在检验检测报告中须能反映且满足上述参数要求。</w:t>
            </w:r>
            <w:r>
              <w:rPr>
                <w:rFonts w:hint="eastAsia"/>
                <w:b/>
                <w:bCs/>
                <w:highlight w:val="none"/>
              </w:rPr>
              <w:t>(</w:t>
            </w:r>
            <w:r>
              <w:rPr>
                <w:rFonts w:hint="eastAsia"/>
                <w:b/>
                <w:bCs/>
                <w:highlight w:val="yellow"/>
              </w:rPr>
              <w:t>轴承档提供实物照片</w:t>
            </w:r>
            <w:r>
              <w:rPr>
                <w:rFonts w:hint="eastAsia"/>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67" w:type="dxa"/>
            <w:vMerge w:val="restart"/>
            <w:noWrap/>
            <w:vAlign w:val="center"/>
          </w:tcPr>
          <w:p>
            <w:pPr>
              <w:numPr>
                <w:ilvl w:val="0"/>
                <w:numId w:val="5"/>
              </w:numPr>
              <w:ind w:left="425" w:leftChars="0" w:hanging="425" w:firstLineChars="0"/>
              <w:jc w:val="both"/>
            </w:pPr>
          </w:p>
        </w:tc>
        <w:tc>
          <w:tcPr>
            <w:tcW w:w="709" w:type="dxa"/>
            <w:vMerge w:val="restart"/>
            <w:noWrap/>
            <w:vAlign w:val="center"/>
          </w:tcPr>
          <w:p>
            <w:r>
              <w:rPr>
                <w:rFonts w:hint="eastAsia"/>
              </w:rPr>
              <w:t>架体</w:t>
            </w:r>
          </w:p>
        </w:tc>
        <w:tc>
          <w:tcPr>
            <w:tcW w:w="992" w:type="dxa"/>
            <w:noWrap/>
            <w:vAlign w:val="center"/>
          </w:tcPr>
          <w:p>
            <w:pPr>
              <w:ind w:firstLine="210" w:firstLineChars="100"/>
            </w:pPr>
            <w:r>
              <w:rPr>
                <w:rFonts w:hint="eastAsia"/>
              </w:rPr>
              <w:t>立柱</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shd w:val="clear" w:color="auto" w:fill="auto"/>
            <w:noWrap/>
            <w:vAlign w:val="center"/>
          </w:tcPr>
          <w:p>
            <w:pPr>
              <w:ind w:firstLine="210" w:firstLineChars="100"/>
            </w:pPr>
            <w:r>
              <w:rPr>
                <w:rFonts w:hint="eastAsia"/>
              </w:rPr>
              <w:t>δ≥1.5mm</w:t>
            </w:r>
          </w:p>
        </w:tc>
        <w:tc>
          <w:tcPr>
            <w:tcW w:w="4461" w:type="dxa"/>
            <w:shd w:val="clear" w:color="auto" w:fill="auto"/>
            <w:noWrap/>
            <w:vAlign w:val="center"/>
          </w:tcPr>
          <w:p>
            <w:pPr>
              <w:ind w:firstLine="420" w:firstLineChars="200"/>
              <w:rPr>
                <w:highlight w:val="none"/>
              </w:rPr>
            </w:pPr>
            <w:r>
              <w:rPr>
                <w:rFonts w:hint="eastAsia"/>
                <w:highlight w:val="none"/>
              </w:rPr>
              <w:t>辊压制作工艺折弯成型，成型立柱尺寸正面≥50mm，两侧面≥40mm。每拼立柱采用上、中、下三根连接横梁。每根立柱侧面均布双排调节孔。挂板、搁板可沿调节孔上、下调节，使层数和间距可按需要调整。每根立柱须插入底梁，和底梁连接牢固，长期使用架体不倾斜、不变形。</w:t>
            </w:r>
          </w:p>
          <w:p>
            <w:pPr>
              <w:ind w:firstLine="420" w:firstLineChars="200"/>
              <w:rPr>
                <w:highlight w:val="none"/>
              </w:rPr>
            </w:pPr>
            <w:r>
              <w:rPr>
                <w:rFonts w:hint="eastAsia"/>
                <w:highlight w:val="none"/>
              </w:rPr>
              <w:t>立柱须符合：焊疤表面波纹应均匀、高低之差应不大于lmm，喷涂层硬度≥4H，24h中性盐雾试验不低于10级，表面涂层可迁移元素（铅Pb、镉Cd、铬Cr、汞Hg、锑Sb、钡Ba、硒Se、砷As）符合HJ2547-2016《环境标志产品技术要求 家具》中对产品的限量要求。</w:t>
            </w:r>
            <w:r>
              <w:rPr>
                <w:rFonts w:hint="eastAsia"/>
                <w:b/>
                <w:bCs/>
                <w:highlight w:val="none"/>
              </w:rPr>
              <w:t>提供具有CMA或CNAS标识的检验检测报告复印件作为评审依据，同时在检验检测报告中须能反映且满足上述参数要求。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搁板</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shd w:val="clear" w:color="auto" w:fill="auto"/>
            <w:noWrap/>
            <w:vAlign w:val="center"/>
          </w:tcPr>
          <w:p>
            <w:pPr>
              <w:ind w:firstLine="210" w:firstLineChars="100"/>
            </w:pPr>
            <w:r>
              <w:rPr>
                <w:rFonts w:hint="eastAsia"/>
              </w:rPr>
              <w:t>δ≥1.2mm</w:t>
            </w:r>
          </w:p>
        </w:tc>
        <w:tc>
          <w:tcPr>
            <w:tcW w:w="4461" w:type="dxa"/>
            <w:shd w:val="clear" w:color="auto" w:fill="auto"/>
            <w:noWrap/>
            <w:vAlign w:val="center"/>
          </w:tcPr>
          <w:p>
            <w:pPr>
              <w:ind w:firstLine="420" w:firstLineChars="200"/>
            </w:pPr>
            <w:r>
              <w:rPr>
                <w:rFonts w:hint="eastAsia"/>
              </w:rPr>
              <w:t>辊压成型制作工艺，搁板表面冲压二组凹槽筋，每组二条（间距＜30mm），每条冲压深度≥2mm，宽度≥7mm。搁板两边各压一条梯形槽加强筋，压印梯形槽成型长边尺寸≥10mm，短边尺寸≥8mm，深度≥2mm，增加承载能力。每块搁板能沿立柱的垂直方向独立自由调整高度，每块搁板应具有防惯性掉落结构，防止架体运行过快时资料由于惯性外移掉落。</w:t>
            </w:r>
          </w:p>
          <w:p>
            <w:pPr>
              <w:ind w:firstLine="420" w:firstLineChars="200"/>
            </w:pPr>
            <w:r>
              <w:rPr>
                <w:rFonts w:hint="eastAsia"/>
                <w:highlight w:val="none"/>
              </w:rPr>
              <w:t>搁板须符合：冲压件应无脱层、裂缝，喷涂层硬度≥4H，24h中性盐雾试验不低于10级，表面涂层可迁移元素（铅Pb、镉Cd、铬Cr、汞Hg、锑Sb、钡Ba、硒Se、砷As）符合HJ2547-2016《环境标志产品技术要求 家具》中对产品的限量要求。</w:t>
            </w:r>
            <w:r>
              <w:rPr>
                <w:rFonts w:hint="eastAsia"/>
                <w:b/>
                <w:bCs/>
                <w:highlight w:val="none"/>
              </w:rPr>
              <w:t>提供具有CMA或CNAS标识的检验检测报告复印件作为评审依据，同时在检验检测报告中须能反映且满足上述参数要求。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挂板</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noWrap/>
            <w:vAlign w:val="center"/>
          </w:tcPr>
          <w:p>
            <w:pPr>
              <w:ind w:firstLine="210" w:firstLineChars="100"/>
            </w:pPr>
            <w:r>
              <w:rPr>
                <w:rFonts w:hint="eastAsia"/>
              </w:rPr>
              <w:t>δ≥1.2mm</w:t>
            </w:r>
          </w:p>
        </w:tc>
        <w:tc>
          <w:tcPr>
            <w:tcW w:w="4461" w:type="dxa"/>
            <w:noWrap/>
            <w:vAlign w:val="center"/>
          </w:tcPr>
          <w:p>
            <w:pPr>
              <w:ind w:firstLine="420" w:firstLineChars="200"/>
              <w:rPr>
                <w:highlight w:val="none"/>
              </w:rPr>
            </w:pPr>
            <w:r>
              <w:rPr>
                <w:rFonts w:hint="eastAsia"/>
              </w:rPr>
              <w:t>模具冲裁打弯而成，折弯成型高度≥120mm，中间腰形拉伸翻边模成形两个台阶加强工艺孔，上、下位置设有四条加强工艺筋。挂板上、下端直角折弯，下端冲有四个凸槽，使搁板嵌置于弯边凸肩上，使挂板与搁板连接牢固、不晃动，承</w:t>
            </w:r>
            <w:r>
              <w:rPr>
                <w:rFonts w:hint="eastAsia"/>
                <w:highlight w:val="none"/>
              </w:rPr>
              <w:t>载性能强，组装后平整、牢固、无噪声。</w:t>
            </w:r>
          </w:p>
          <w:p>
            <w:pPr>
              <w:ind w:firstLine="420" w:firstLineChars="200"/>
            </w:pPr>
            <w:r>
              <w:rPr>
                <w:rFonts w:hint="eastAsia"/>
                <w:highlight w:val="none"/>
              </w:rPr>
              <w:t>挂板须符合：涂层应光滑均匀，色泽一致，应无流挂、疙瘩、皱皮、飞漆等缺陷，喷涂层硬度≥4H，24h中性盐雾试验不低于10级，表面涂层可迁移元素（铅Pb、镉Cd、铬Cr、汞Hg、锑Sb、钡Ba、硒Se、砷As）符合HJ2547-2016《环境标志产品技术要求 家具》中对产品的限量要求。</w:t>
            </w:r>
            <w:r>
              <w:rPr>
                <w:rFonts w:hint="eastAsia"/>
                <w:b/>
                <w:bCs/>
                <w:highlight w:val="none"/>
              </w:rPr>
              <w:t>提供具有CMA或CNAS标识的检验检测报告复印件作为评审依据，同时在检验检测报告中须能反映且满足上述参数要求。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顶板</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noWrap/>
            <w:vAlign w:val="center"/>
          </w:tcPr>
          <w:p>
            <w:pPr>
              <w:ind w:firstLine="210" w:firstLineChars="100"/>
            </w:pPr>
            <w:r>
              <w:rPr>
                <w:rFonts w:hint="eastAsia"/>
              </w:rPr>
              <w:t>δ≥1.0</w:t>
            </w:r>
          </w:p>
        </w:tc>
        <w:tc>
          <w:tcPr>
            <w:tcW w:w="4461" w:type="dxa"/>
            <w:noWrap/>
            <w:vAlign w:val="center"/>
          </w:tcPr>
          <w:p>
            <w:pPr>
              <w:ind w:firstLine="420" w:firstLineChars="200"/>
              <w:rPr>
                <w:highlight w:val="none"/>
              </w:rPr>
            </w:pPr>
            <w:r>
              <w:rPr>
                <w:rFonts w:hint="eastAsia"/>
              </w:rPr>
              <w:t>四角对焊，使其成框架结构，加强顶板的钢性。顶板通过螺栓紧固于立柱上端既能加强架体的整体刚性又能起</w:t>
            </w:r>
            <w:r>
              <w:rPr>
                <w:rFonts w:hint="eastAsia"/>
                <w:highlight w:val="none"/>
              </w:rPr>
              <w:t>到防尘、防水的作用。</w:t>
            </w:r>
          </w:p>
          <w:p>
            <w:pPr>
              <w:ind w:firstLine="420" w:firstLineChars="200"/>
            </w:pPr>
            <w:r>
              <w:rPr>
                <w:rFonts w:hint="eastAsia"/>
                <w:highlight w:val="none"/>
              </w:rPr>
              <w:t>顶板须符合：焊接处应无夹渣、气孔、焊瘤、焊丝头、咬边、飞溅，喷涂层硬度≥4H，24h中性盐雾试验不低于10级，表面涂层可迁移元素（铅Pb、镉Cd、铬Cr、汞Hg、锑Sb、钡Ba、硒Se、砷As）符合HJ2547-2016《环境标志产品技术要求 家具》中对产品的限量要求。</w:t>
            </w:r>
            <w:r>
              <w:rPr>
                <w:rFonts w:hint="eastAsia"/>
                <w:b/>
                <w:bCs/>
                <w:highlight w:val="none"/>
              </w:rPr>
              <w:t>提供</w:t>
            </w:r>
            <w:r>
              <w:rPr>
                <w:rFonts w:hint="eastAsia"/>
                <w:b/>
                <w:bCs/>
                <w:highlight w:val="none"/>
              </w:rPr>
              <w:t>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分搁棒</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noWrap/>
            <w:vAlign w:val="center"/>
          </w:tcPr>
          <w:p>
            <w:pPr>
              <w:ind w:firstLine="210" w:firstLineChars="100"/>
            </w:pPr>
            <w:r>
              <w:rPr>
                <w:rFonts w:hint="eastAsia"/>
              </w:rPr>
              <w:t>δ≥1.0</w:t>
            </w:r>
          </w:p>
        </w:tc>
        <w:tc>
          <w:tcPr>
            <w:tcW w:w="4461" w:type="dxa"/>
            <w:noWrap/>
            <w:vAlign w:val="center"/>
          </w:tcPr>
          <w:p>
            <w:pPr>
              <w:ind w:firstLine="210" w:firstLineChars="100"/>
            </w:pPr>
            <w:r>
              <w:rPr>
                <w:rFonts w:hint="eastAsia"/>
              </w:rPr>
              <w:t>冲压折弯成形，用以防止资料窜动位置。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3" w:hRule="atLeast"/>
          <w:jc w:val="center"/>
        </w:trPr>
        <w:tc>
          <w:tcPr>
            <w:tcW w:w="567" w:type="dxa"/>
            <w:vMerge w:val="restart"/>
            <w:noWrap/>
            <w:vAlign w:val="center"/>
          </w:tcPr>
          <w:p>
            <w:pPr>
              <w:numPr>
                <w:ilvl w:val="0"/>
                <w:numId w:val="5"/>
              </w:numPr>
              <w:ind w:left="425" w:leftChars="0" w:hanging="425" w:firstLineChars="0"/>
              <w:jc w:val="center"/>
            </w:pPr>
          </w:p>
        </w:tc>
        <w:tc>
          <w:tcPr>
            <w:tcW w:w="709" w:type="dxa"/>
            <w:vMerge w:val="restart"/>
            <w:noWrap/>
            <w:vAlign w:val="center"/>
          </w:tcPr>
          <w:p>
            <w:r>
              <w:rPr>
                <w:rFonts w:hint="eastAsia"/>
              </w:rPr>
              <w:t>面板</w:t>
            </w:r>
          </w:p>
        </w:tc>
        <w:tc>
          <w:tcPr>
            <w:tcW w:w="992" w:type="dxa"/>
            <w:noWrap/>
            <w:vAlign w:val="center"/>
          </w:tcPr>
          <w:p>
            <w:pPr>
              <w:ind w:firstLine="210" w:firstLineChars="100"/>
            </w:pPr>
            <w:r>
              <w:rPr>
                <w:rFonts w:hint="eastAsia"/>
              </w:rPr>
              <w:t>防尘门</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noWrap/>
            <w:vAlign w:val="center"/>
          </w:tcPr>
          <w:p>
            <w:pPr>
              <w:ind w:firstLine="210" w:firstLineChars="100"/>
            </w:pPr>
            <w:r>
              <w:rPr>
                <w:rFonts w:hint="eastAsia"/>
              </w:rPr>
              <w:t>δ≥1.0mm</w:t>
            </w:r>
          </w:p>
        </w:tc>
        <w:tc>
          <w:tcPr>
            <w:tcW w:w="4461" w:type="dxa"/>
            <w:noWrap/>
            <w:vAlign w:val="center"/>
          </w:tcPr>
          <w:p>
            <w:pPr>
              <w:ind w:firstLine="420" w:firstLineChars="200"/>
              <w:rPr>
                <w:highlight w:val="none"/>
              </w:rPr>
            </w:pPr>
            <w:r>
              <w:rPr>
                <w:rFonts w:hint="eastAsia"/>
              </w:rPr>
              <w:t>由门板、门档、门锁等部件组成。门板和门档≥1.0mm采用优质冷轧钢板，右门上装有密集架专用三级管理锁，背面有锁盖，门栓为不可见。组装后缝隙均匀，锁定紧密，开启灵活；门板可≥170度打开</w:t>
            </w:r>
            <w:r>
              <w:rPr>
                <w:rFonts w:hint="eastAsia"/>
                <w:highlight w:val="none"/>
              </w:rPr>
              <w:t>，方便存取。</w:t>
            </w:r>
          </w:p>
          <w:p>
            <w:pPr>
              <w:ind w:firstLine="420" w:firstLineChars="200"/>
              <w:rPr>
                <w:b/>
                <w:bCs/>
              </w:rPr>
            </w:pPr>
            <w:r>
              <w:rPr>
                <w:rFonts w:hint="eastAsia"/>
                <w:highlight w:val="none"/>
              </w:rPr>
              <w:t>防尘门须符合：紧固件连接各部位的安装应牢固可靠，不可有松动现象，喷涂层硬度≥4H，24h中性盐雾试验不低于10级，表面涂层可迁移元素（铅Pb、镉Cd、铬Cr、汞Hg、锑Sb、钡Ba、硒Se、砷As）符合HJ2547-2016《环境标志产品技术要求 家具》中对产品的限量要求。</w:t>
            </w:r>
            <w:r>
              <w:rPr>
                <w:rFonts w:hint="eastAsia"/>
                <w:b/>
                <w:bCs/>
                <w:highlight w:val="none"/>
              </w:rPr>
              <w:t>提供具有CMA或CNAS标识的检验检测报告复印件作为评审依据，同时在检验检测报告中须能反映且满足上述参数要求。</w:t>
            </w:r>
          </w:p>
          <w:p>
            <w:pPr>
              <w:ind w:firstLine="420" w:firstLineChars="200"/>
            </w:pPr>
            <w:r>
              <w:rPr>
                <w:rFonts w:hint="eastAsia"/>
              </w:rPr>
              <w:t>门铰链需符合：一组合页（饺链)按实际承载质量，反复启闭10万次后，门扇自由端竖直方向位置的变化值应≤2mm，试件应无严重变形或损坏；悬端吊重1kN试验后，扇不脱落。</w:t>
            </w:r>
          </w:p>
          <w:p>
            <w:pPr>
              <w:ind w:firstLine="422" w:firstLineChars="200"/>
            </w:pPr>
            <w:r>
              <w:rPr>
                <w:rFonts w:hint="eastAsia"/>
                <w:b/>
                <w:bCs/>
                <w:highlight w:val="none"/>
              </w:rPr>
              <w:t>提供具有CMA或CNAS标识的检验检测报告复印件作为评审依据，同时在检验检测报告中须能反映且满足上述参数要求。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0"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侧面板</w:t>
            </w:r>
          </w:p>
        </w:tc>
        <w:tc>
          <w:tcPr>
            <w:tcW w:w="851" w:type="dxa"/>
            <w:noWrap/>
            <w:vAlign w:val="center"/>
          </w:tcPr>
          <w:p>
            <w:r>
              <w:rPr>
                <w:rFonts w:hint="eastAsia"/>
              </w:rPr>
              <w:t>冷轧</w:t>
            </w:r>
            <w:r>
              <w:rPr>
                <w:rFonts w:hint="eastAsia"/>
              </w:rPr>
              <w:br w:type="textWrapping"/>
            </w:r>
            <w:r>
              <w:rPr>
                <w:rFonts w:hint="eastAsia"/>
              </w:rPr>
              <w:t>钢板</w:t>
            </w:r>
          </w:p>
        </w:tc>
        <w:tc>
          <w:tcPr>
            <w:tcW w:w="992" w:type="dxa"/>
            <w:noWrap/>
            <w:vAlign w:val="center"/>
          </w:tcPr>
          <w:p>
            <w:pPr>
              <w:ind w:firstLine="210" w:firstLineChars="100"/>
            </w:pPr>
            <w:r>
              <w:rPr>
                <w:rFonts w:hint="eastAsia"/>
              </w:rPr>
              <w:t>GB 708</w:t>
            </w:r>
          </w:p>
        </w:tc>
        <w:tc>
          <w:tcPr>
            <w:tcW w:w="1134" w:type="dxa"/>
            <w:noWrap/>
            <w:vAlign w:val="center"/>
          </w:tcPr>
          <w:p>
            <w:pPr>
              <w:ind w:firstLine="210" w:firstLineChars="100"/>
            </w:pPr>
            <w:r>
              <w:rPr>
                <w:rFonts w:hint="eastAsia"/>
              </w:rPr>
              <w:t>δ≥1.0mm</w:t>
            </w:r>
          </w:p>
        </w:tc>
        <w:tc>
          <w:tcPr>
            <w:tcW w:w="4461" w:type="dxa"/>
            <w:noWrap/>
            <w:vAlign w:val="center"/>
          </w:tcPr>
          <w:p>
            <w:pPr>
              <w:ind w:firstLine="420" w:firstLineChars="200"/>
            </w:pPr>
            <w:r>
              <w:rPr>
                <w:rFonts w:hint="eastAsia"/>
              </w:rPr>
              <w:t>前侧面板采用上、中、下三段款式。中段部分冲外凸圆点图案，直径≥5MM，凸出≥2MM，凸点横向竖向间距各为≥50MM。两边做圆弧处理，与整体装饰风格保持一致，为了方便分类管理，每排架体护板适合位置需配置标签目录槽，后侧板采用整体平圆角。外观设计新颖，线条流畅。</w:t>
            </w:r>
          </w:p>
          <w:p>
            <w:pPr>
              <w:ind w:firstLine="211" w:firstLineChars="100"/>
            </w:pPr>
            <w:r>
              <w:rPr>
                <w:rFonts w:hint="eastAsia"/>
                <w:b/>
                <w:bCs/>
              </w:rPr>
              <w:t>(</w:t>
            </w:r>
            <w:r>
              <w:rPr>
                <w:rFonts w:hint="eastAsia"/>
                <w:b/>
                <w:bCs/>
                <w:highlight w:val="yellow"/>
              </w:rPr>
              <w:t>前侧面板中段部分提供实物照片</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567" w:type="dxa"/>
            <w:vMerge w:val="restart"/>
            <w:noWrap/>
            <w:vAlign w:val="center"/>
          </w:tcPr>
          <w:p>
            <w:pPr>
              <w:numPr>
                <w:ilvl w:val="0"/>
                <w:numId w:val="5"/>
              </w:numPr>
              <w:ind w:left="425" w:leftChars="0" w:hanging="425" w:firstLineChars="0"/>
              <w:jc w:val="center"/>
            </w:pPr>
          </w:p>
        </w:tc>
        <w:tc>
          <w:tcPr>
            <w:tcW w:w="709" w:type="dxa"/>
            <w:vMerge w:val="restart"/>
            <w:noWrap/>
            <w:vAlign w:val="center"/>
          </w:tcPr>
          <w:p>
            <w:r>
              <w:rPr>
                <w:rFonts w:hint="eastAsia"/>
              </w:rPr>
              <w:t>底盘传动机构</w:t>
            </w:r>
          </w:p>
        </w:tc>
        <w:tc>
          <w:tcPr>
            <w:tcW w:w="992" w:type="dxa"/>
            <w:noWrap/>
            <w:vAlign w:val="center"/>
          </w:tcPr>
          <w:p>
            <w:pPr>
              <w:ind w:firstLine="210" w:firstLineChars="100"/>
            </w:pPr>
            <w:r>
              <w:rPr>
                <w:rFonts w:hint="eastAsia"/>
              </w:rPr>
              <w:t>轴承</w:t>
            </w:r>
          </w:p>
        </w:tc>
        <w:tc>
          <w:tcPr>
            <w:tcW w:w="851" w:type="dxa"/>
            <w:noWrap/>
            <w:vAlign w:val="center"/>
          </w:tcPr>
          <w:p>
            <w:pPr>
              <w:ind w:firstLine="210" w:firstLineChars="100"/>
            </w:pPr>
            <w:r>
              <w:rPr>
                <w:rFonts w:hint="eastAsia"/>
              </w:rPr>
              <w:t>P204</w:t>
            </w:r>
          </w:p>
        </w:tc>
        <w:tc>
          <w:tcPr>
            <w:tcW w:w="992" w:type="dxa"/>
            <w:noWrap/>
            <w:vAlign w:val="center"/>
          </w:tcPr>
          <w:p>
            <w:pPr>
              <w:ind w:firstLine="210" w:firstLineChars="100"/>
            </w:pPr>
            <w:r>
              <w:rPr>
                <w:rFonts w:hint="eastAsia"/>
              </w:rPr>
              <w:t>GB 699</w:t>
            </w:r>
          </w:p>
        </w:tc>
        <w:tc>
          <w:tcPr>
            <w:tcW w:w="1134" w:type="dxa"/>
            <w:noWrap/>
            <w:vAlign w:val="center"/>
          </w:tcPr>
          <w:p>
            <w:pPr>
              <w:ind w:firstLine="210" w:firstLineChars="100"/>
            </w:pPr>
            <w:r>
              <w:rPr>
                <w:rFonts w:hint="eastAsia"/>
              </w:rPr>
              <w:t>E级</w:t>
            </w:r>
          </w:p>
        </w:tc>
        <w:tc>
          <w:tcPr>
            <w:tcW w:w="4461" w:type="dxa"/>
            <w:noWrap/>
            <w:vAlign w:val="center"/>
          </w:tcPr>
          <w:p>
            <w:pPr>
              <w:ind w:firstLine="210" w:firstLineChars="100"/>
            </w:pPr>
            <w:r>
              <w:rPr>
                <w:rFonts w:hint="eastAsia"/>
              </w:rPr>
              <w:t>采用P204，E级，优质平装式球面万向滚珠调心轴承。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传动轴</w:t>
            </w:r>
          </w:p>
        </w:tc>
        <w:tc>
          <w:tcPr>
            <w:tcW w:w="851" w:type="dxa"/>
            <w:noWrap/>
            <w:vAlign w:val="center"/>
          </w:tcPr>
          <w:p>
            <w:pPr>
              <w:ind w:firstLine="210" w:firstLineChars="100"/>
            </w:pPr>
            <w:r>
              <w:rPr>
                <w:rFonts w:hint="eastAsia"/>
              </w:rPr>
              <w:t>45#钢</w:t>
            </w:r>
          </w:p>
        </w:tc>
        <w:tc>
          <w:tcPr>
            <w:tcW w:w="992" w:type="dxa"/>
            <w:noWrap/>
            <w:vAlign w:val="center"/>
          </w:tcPr>
          <w:p>
            <w:pPr>
              <w:ind w:firstLine="210" w:firstLineChars="100"/>
            </w:pPr>
            <w:r>
              <w:rPr>
                <w:rFonts w:hint="eastAsia"/>
              </w:rPr>
              <w:t>GB 699</w:t>
            </w:r>
          </w:p>
        </w:tc>
        <w:tc>
          <w:tcPr>
            <w:tcW w:w="1134" w:type="dxa"/>
            <w:noWrap/>
            <w:vAlign w:val="center"/>
          </w:tcPr>
          <w:p>
            <w:pPr>
              <w:ind w:firstLine="210" w:firstLineChars="100"/>
            </w:pPr>
            <w:r>
              <w:rPr>
                <w:rFonts w:hint="eastAsia"/>
              </w:rPr>
              <w:t>≥Φ20mm</w:t>
            </w:r>
          </w:p>
        </w:tc>
        <w:tc>
          <w:tcPr>
            <w:tcW w:w="4461" w:type="dxa"/>
            <w:tcBorders>
              <w:bottom w:val="single" w:color="auto" w:sz="4" w:space="0"/>
            </w:tcBorders>
            <w:noWrap/>
            <w:vAlign w:val="center"/>
          </w:tcPr>
          <w:p>
            <w:pPr>
              <w:ind w:firstLine="210" w:firstLineChars="100"/>
            </w:pPr>
            <w:r>
              <w:rPr>
                <w:rFonts w:hint="eastAsia"/>
              </w:rPr>
              <w:t>加工精度不低于3.2，调质热处理，HB200-290，用45#冷拉实心圆钢，通体实心轴。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连接管</w:t>
            </w:r>
          </w:p>
        </w:tc>
        <w:tc>
          <w:tcPr>
            <w:tcW w:w="851" w:type="dxa"/>
            <w:noWrap/>
            <w:vAlign w:val="center"/>
          </w:tcPr>
          <w:p>
            <w:r>
              <w:rPr>
                <w:rFonts w:hint="eastAsia"/>
              </w:rPr>
              <w:t>无缝管</w:t>
            </w:r>
          </w:p>
        </w:tc>
        <w:tc>
          <w:tcPr>
            <w:tcW w:w="992" w:type="dxa"/>
            <w:noWrap/>
            <w:vAlign w:val="center"/>
          </w:tcPr>
          <w:p>
            <w:pPr>
              <w:ind w:firstLine="210" w:firstLineChars="100"/>
            </w:pPr>
            <w:r>
              <w:rPr>
                <w:rFonts w:hint="eastAsia"/>
              </w:rPr>
              <w:t>GB 699</w:t>
            </w:r>
          </w:p>
        </w:tc>
        <w:tc>
          <w:tcPr>
            <w:tcW w:w="1134" w:type="dxa"/>
            <w:tcBorders>
              <w:right w:val="single" w:color="auto" w:sz="4" w:space="0"/>
            </w:tcBorders>
            <w:noWrap/>
            <w:vAlign w:val="center"/>
          </w:tcPr>
          <w:p>
            <w:pPr>
              <w:ind w:firstLine="210" w:firstLineChars="100"/>
            </w:pPr>
            <w:r>
              <w:rPr>
                <w:rFonts w:hint="eastAsia"/>
              </w:rPr>
              <w:t>≥Ф25*2.5</w:t>
            </w:r>
          </w:p>
        </w:tc>
        <w:tc>
          <w:tcPr>
            <w:tcW w:w="4461" w:type="dxa"/>
            <w:tcBorders>
              <w:right w:val="single" w:color="auto" w:sz="4" w:space="0"/>
            </w:tcBorders>
          </w:tcPr>
          <w:p>
            <w:pPr>
              <w:ind w:firstLine="210" w:firstLineChars="100"/>
            </w:pPr>
            <w:r>
              <w:rPr>
                <w:rFonts w:hint="eastAsia"/>
              </w:rPr>
              <w:t>需做表面镀锌或发黑等防腐处理。</w:t>
            </w:r>
          </w:p>
          <w:p>
            <w:pPr>
              <w:ind w:firstLine="210" w:firstLineChars="100"/>
            </w:pPr>
            <w:r>
              <w:rPr>
                <w:rFonts w:hint="eastAsia"/>
              </w:rPr>
              <w:t>连接管须符合：塑性延伸强度：≥240pa，抗拉强度：≥440Mpa，断后伸长率：≥28%。</w:t>
            </w:r>
            <w:r>
              <w:rPr>
                <w:rFonts w:hint="eastAsia"/>
                <w:b/>
                <w:bCs/>
              </w:rPr>
              <w:t>提供</w:t>
            </w:r>
            <w:r>
              <w:rPr>
                <w:rFonts w:hint="eastAsia"/>
                <w:b/>
                <w:bCs/>
                <w:highlight w:val="none"/>
              </w:rPr>
              <w:t>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铁轮</w:t>
            </w:r>
          </w:p>
        </w:tc>
        <w:tc>
          <w:tcPr>
            <w:tcW w:w="851" w:type="dxa"/>
            <w:noWrap/>
            <w:vAlign w:val="center"/>
          </w:tcPr>
          <w:p>
            <w:pPr>
              <w:ind w:firstLine="210" w:firstLineChars="100"/>
            </w:pPr>
            <w:r>
              <w:rPr>
                <w:rFonts w:hint="eastAsia"/>
              </w:rPr>
              <w:t>HT200铸铁</w:t>
            </w:r>
          </w:p>
        </w:tc>
        <w:tc>
          <w:tcPr>
            <w:tcW w:w="992" w:type="dxa"/>
            <w:noWrap/>
            <w:vAlign w:val="center"/>
          </w:tcPr>
          <w:p>
            <w:pPr>
              <w:ind w:firstLine="210" w:firstLineChars="100"/>
            </w:pPr>
            <w:r>
              <w:rPr>
                <w:rFonts w:hint="eastAsia"/>
              </w:rPr>
              <w:t>GB 9439</w:t>
            </w:r>
          </w:p>
        </w:tc>
        <w:tc>
          <w:tcPr>
            <w:tcW w:w="1134" w:type="dxa"/>
            <w:tcBorders>
              <w:right w:val="single" w:color="auto" w:sz="4" w:space="0"/>
            </w:tcBorders>
            <w:noWrap/>
            <w:vAlign w:val="center"/>
          </w:tcPr>
          <w:p>
            <w:pPr>
              <w:ind w:firstLine="210" w:firstLineChars="100"/>
            </w:pPr>
            <w:r>
              <w:rPr>
                <w:rFonts w:hint="eastAsia"/>
              </w:rPr>
              <w:t>≥Ф120</w:t>
            </w:r>
          </w:p>
        </w:tc>
        <w:tc>
          <w:tcPr>
            <w:tcW w:w="4461" w:type="dxa"/>
            <w:tcBorders>
              <w:right w:val="single" w:color="auto" w:sz="4" w:space="0"/>
            </w:tcBorders>
            <w:vAlign w:val="center"/>
          </w:tcPr>
          <w:p>
            <w:pPr>
              <w:ind w:firstLine="210" w:firstLineChars="100"/>
            </w:pPr>
            <w:r>
              <w:rPr>
                <w:rFonts w:hint="eastAsia"/>
              </w:rPr>
              <w:t>HT200铸铁，精加工成型，牢固耐用。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8"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链轮</w:t>
            </w:r>
          </w:p>
        </w:tc>
        <w:tc>
          <w:tcPr>
            <w:tcW w:w="851" w:type="dxa"/>
            <w:noWrap/>
            <w:vAlign w:val="center"/>
          </w:tcPr>
          <w:p>
            <w:pPr>
              <w:ind w:firstLine="210" w:firstLineChars="100"/>
            </w:pPr>
            <w:r>
              <w:rPr>
                <w:rFonts w:hint="eastAsia"/>
              </w:rPr>
              <w:t>ZG45</w:t>
            </w:r>
          </w:p>
        </w:tc>
        <w:tc>
          <w:tcPr>
            <w:tcW w:w="992" w:type="dxa"/>
            <w:noWrap/>
            <w:vAlign w:val="center"/>
          </w:tcPr>
          <w:p>
            <w:pPr>
              <w:ind w:firstLine="210" w:firstLineChars="100"/>
            </w:pPr>
            <w:r>
              <w:rPr>
                <w:rFonts w:hint="eastAsia"/>
              </w:rPr>
              <w:t>GB 1958</w:t>
            </w:r>
          </w:p>
        </w:tc>
        <w:tc>
          <w:tcPr>
            <w:tcW w:w="1134" w:type="dxa"/>
            <w:tcBorders>
              <w:right w:val="single" w:color="auto" w:sz="4" w:space="0"/>
            </w:tcBorders>
            <w:noWrap/>
            <w:vAlign w:val="center"/>
          </w:tcPr>
          <w:p>
            <w:pPr>
              <w:ind w:firstLine="210" w:firstLineChars="100"/>
            </w:pPr>
            <w:r>
              <w:rPr>
                <w:rFonts w:hint="eastAsia"/>
              </w:rPr>
              <w:t>12齿-48齿</w:t>
            </w:r>
          </w:p>
        </w:tc>
        <w:tc>
          <w:tcPr>
            <w:tcW w:w="4461" w:type="dxa"/>
            <w:tcBorders>
              <w:right w:val="single" w:color="auto" w:sz="4" w:space="0"/>
            </w:tcBorders>
          </w:tcPr>
          <w:p>
            <w:pPr>
              <w:ind w:firstLine="210" w:firstLineChars="100"/>
            </w:pPr>
            <w:r>
              <w:rPr>
                <w:rFonts w:hint="eastAsia"/>
              </w:rPr>
              <w:t>采用精钢滚齿链轮，12－48齿ZG45，经锻压精密加工成型，回火去除应力，加工车、滚齿、插键槽、去毛齿、齿部经高频淬火HRC60-62。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pPr>
              <w:ind w:firstLine="210" w:firstLineChars="100"/>
            </w:pPr>
            <w:r>
              <w:rPr>
                <w:rFonts w:hint="eastAsia"/>
              </w:rPr>
              <w:t>链条</w:t>
            </w:r>
          </w:p>
        </w:tc>
        <w:tc>
          <w:tcPr>
            <w:tcW w:w="851" w:type="dxa"/>
            <w:noWrap/>
            <w:vAlign w:val="center"/>
          </w:tcPr>
          <w:p>
            <w:pPr>
              <w:ind w:firstLine="210" w:firstLineChars="100"/>
            </w:pPr>
            <w:r>
              <w:rPr>
                <w:rFonts w:hint="eastAsia"/>
              </w:rPr>
              <w:t>Ф8.5节距12.7</w:t>
            </w:r>
          </w:p>
        </w:tc>
        <w:tc>
          <w:tcPr>
            <w:tcW w:w="992" w:type="dxa"/>
            <w:noWrap/>
            <w:vAlign w:val="center"/>
          </w:tcPr>
          <w:p>
            <w:pPr>
              <w:ind w:firstLine="210" w:firstLineChars="100"/>
            </w:pPr>
            <w:r>
              <w:rPr>
                <w:rFonts w:hint="eastAsia"/>
              </w:rPr>
              <w:t>JB 10348</w:t>
            </w:r>
          </w:p>
        </w:tc>
        <w:tc>
          <w:tcPr>
            <w:tcW w:w="1134" w:type="dxa"/>
            <w:noWrap/>
            <w:vAlign w:val="center"/>
          </w:tcPr>
          <w:p>
            <w:pPr>
              <w:ind w:firstLine="210" w:firstLineChars="100"/>
            </w:pPr>
            <w:r>
              <w:rPr>
                <w:rFonts w:hint="eastAsia"/>
              </w:rPr>
              <w:t>FR420</w:t>
            </w:r>
          </w:p>
        </w:tc>
        <w:tc>
          <w:tcPr>
            <w:tcW w:w="4461" w:type="dxa"/>
            <w:tcBorders>
              <w:top w:val="single" w:color="auto" w:sz="4" w:space="0"/>
            </w:tcBorders>
            <w:noWrap/>
            <w:vAlign w:val="center"/>
          </w:tcPr>
          <w:p>
            <w:pPr>
              <w:ind w:left="210" w:leftChars="100" w:firstLine="0" w:firstLineChars="0"/>
            </w:pPr>
            <w:r>
              <w:rPr>
                <w:rFonts w:hint="eastAsia"/>
              </w:rPr>
              <w:t>采用Φ8.5mm，节距12.7mm摩托车滚子链条。链条须符合：最小抗拉载荷≥8500N。</w:t>
            </w:r>
            <w:r>
              <w:rPr>
                <w:rFonts w:hint="eastAsia"/>
                <w:b/>
                <w:bCs/>
                <w:highlight w:val="none"/>
              </w:rPr>
              <w:t>提供具有CMA或CNAS标识的检验检测报告复印件作为评审依据，同时在检验检测报告中须能反映且满足上述参数要求。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567" w:type="dxa"/>
            <w:vMerge w:val="restart"/>
            <w:noWrap/>
            <w:vAlign w:val="center"/>
          </w:tcPr>
          <w:p>
            <w:pPr>
              <w:numPr>
                <w:ilvl w:val="0"/>
                <w:numId w:val="5"/>
              </w:numPr>
              <w:ind w:left="425" w:leftChars="0" w:hanging="425" w:firstLineChars="0"/>
              <w:jc w:val="center"/>
            </w:pPr>
          </w:p>
        </w:tc>
        <w:tc>
          <w:tcPr>
            <w:tcW w:w="709" w:type="dxa"/>
            <w:vMerge w:val="restart"/>
            <w:noWrap/>
            <w:vAlign w:val="center"/>
          </w:tcPr>
          <w:p>
            <w:r>
              <w:rPr>
                <w:rFonts w:hint="eastAsia"/>
              </w:rPr>
              <w:t>侧面立式传动系统</w:t>
            </w:r>
          </w:p>
        </w:tc>
        <w:tc>
          <w:tcPr>
            <w:tcW w:w="992" w:type="dxa"/>
            <w:noWrap/>
            <w:vAlign w:val="center"/>
          </w:tcPr>
          <w:p>
            <w:r>
              <w:rPr>
                <w:rFonts w:hint="eastAsia"/>
              </w:rPr>
              <w:t>传动机构总成</w:t>
            </w:r>
          </w:p>
        </w:tc>
        <w:tc>
          <w:tcPr>
            <w:tcW w:w="851" w:type="dxa"/>
            <w:noWrap/>
            <w:vAlign w:val="center"/>
          </w:tcPr>
          <w:p>
            <w:r>
              <w:rPr>
                <w:rFonts w:hint="eastAsia"/>
              </w:rPr>
              <w:t>多级变速</w:t>
            </w:r>
          </w:p>
        </w:tc>
        <w:tc>
          <w:tcPr>
            <w:tcW w:w="992" w:type="dxa"/>
            <w:noWrap/>
            <w:vAlign w:val="center"/>
          </w:tcPr>
          <w:p>
            <w:pPr>
              <w:ind w:firstLine="210" w:firstLineChars="100"/>
            </w:pPr>
            <w:r>
              <w:rPr>
                <w:rFonts w:hint="eastAsia"/>
              </w:rPr>
              <w:t>GB 1285</w:t>
            </w:r>
          </w:p>
        </w:tc>
        <w:tc>
          <w:tcPr>
            <w:tcW w:w="1134" w:type="dxa"/>
            <w:noWrap/>
            <w:vAlign w:val="center"/>
          </w:tcPr>
          <w:p>
            <w:pPr>
              <w:ind w:firstLine="210" w:firstLineChars="100"/>
            </w:pPr>
            <w:r>
              <w:rPr>
                <w:rFonts w:hint="eastAsia"/>
              </w:rPr>
              <w:t>每标准节手动摇力不大于9N</w:t>
            </w:r>
          </w:p>
        </w:tc>
        <w:tc>
          <w:tcPr>
            <w:tcW w:w="4461" w:type="dxa"/>
            <w:vMerge w:val="restart"/>
            <w:noWrap/>
            <w:vAlign w:val="center"/>
          </w:tcPr>
          <w:p>
            <w:pPr>
              <w:ind w:firstLine="420" w:firstLineChars="200"/>
            </w:pPr>
            <w:r>
              <w:rPr>
                <w:rFonts w:hint="eastAsia"/>
              </w:rPr>
              <w:t>侧面立式传动机构总成由操纵手摇柄和传动系统组成。操纵手摇柄采用机械式自脱超越离合摇手体，手柄可折叠。采用可拆卸结构，不使用时可用封盖封闭摇把接口。传动系统要求多级速比不低于1：6，每标准节手动摇转轻便平稳，不得有阻滞、打滑现象。静态启动性能良好，可单列或多列一起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3"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r>
              <w:rPr>
                <w:rFonts w:hint="eastAsia"/>
              </w:rPr>
              <w:t>操纵手摇柄</w:t>
            </w:r>
          </w:p>
        </w:tc>
        <w:tc>
          <w:tcPr>
            <w:tcW w:w="851" w:type="dxa"/>
            <w:noWrap/>
            <w:vAlign w:val="center"/>
          </w:tcPr>
          <w:p>
            <w:r>
              <w:rPr>
                <w:rFonts w:hint="eastAsia"/>
              </w:rPr>
              <w:t>采用钢、锌合金或铝合金材料</w:t>
            </w:r>
          </w:p>
        </w:tc>
        <w:tc>
          <w:tcPr>
            <w:tcW w:w="992" w:type="dxa"/>
            <w:noWrap/>
            <w:vAlign w:val="center"/>
          </w:tcPr>
          <w:p>
            <w:pPr>
              <w:ind w:firstLine="210" w:firstLineChars="100"/>
            </w:pPr>
            <w:r>
              <w:rPr>
                <w:rFonts w:hint="eastAsia"/>
              </w:rPr>
              <w:t>GB 1285</w:t>
            </w:r>
          </w:p>
        </w:tc>
        <w:tc>
          <w:tcPr>
            <w:tcW w:w="1134" w:type="dxa"/>
            <w:noWrap/>
            <w:vAlign w:val="center"/>
          </w:tcPr>
          <w:p>
            <w:pPr>
              <w:ind w:firstLine="210" w:firstLineChars="100"/>
            </w:pPr>
            <w:r>
              <w:rPr>
                <w:rFonts w:hint="eastAsia"/>
              </w:rPr>
              <w:t>滚珠</w:t>
            </w:r>
            <w:r>
              <w:rPr>
                <w:rFonts w:hint="eastAsia"/>
              </w:rPr>
              <w:br w:type="textWrapping"/>
            </w:r>
            <w:r>
              <w:rPr>
                <w:rFonts w:hint="eastAsia"/>
              </w:rPr>
              <w:t>轴承</w:t>
            </w:r>
          </w:p>
        </w:tc>
        <w:tc>
          <w:tcPr>
            <w:tcW w:w="4461" w:type="dxa"/>
            <w:vMerge w:val="continue"/>
            <w:noWrap/>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567" w:type="dxa"/>
            <w:vMerge w:val="restart"/>
            <w:noWrap/>
            <w:vAlign w:val="center"/>
          </w:tcPr>
          <w:p>
            <w:pPr>
              <w:numPr>
                <w:ilvl w:val="0"/>
                <w:numId w:val="5"/>
              </w:numPr>
              <w:ind w:left="425" w:leftChars="0" w:hanging="425" w:firstLineChars="0"/>
              <w:jc w:val="center"/>
            </w:pPr>
          </w:p>
        </w:tc>
        <w:tc>
          <w:tcPr>
            <w:tcW w:w="709" w:type="dxa"/>
            <w:vMerge w:val="restart"/>
            <w:noWrap/>
            <w:vAlign w:val="center"/>
          </w:tcPr>
          <w:p>
            <w:r>
              <w:rPr>
                <w:rFonts w:hint="eastAsia"/>
              </w:rPr>
              <w:t>制动装置</w:t>
            </w:r>
          </w:p>
        </w:tc>
        <w:tc>
          <w:tcPr>
            <w:tcW w:w="992" w:type="dxa"/>
            <w:noWrap/>
            <w:vAlign w:val="center"/>
          </w:tcPr>
          <w:p>
            <w:r>
              <w:rPr>
                <w:rFonts w:hint="eastAsia"/>
              </w:rPr>
              <w:t>边列锁定装具</w:t>
            </w:r>
          </w:p>
        </w:tc>
        <w:tc>
          <w:tcPr>
            <w:tcW w:w="851" w:type="dxa"/>
            <w:noWrap/>
            <w:vAlign w:val="center"/>
          </w:tcPr>
          <w:p>
            <w:pPr>
              <w:ind w:firstLine="210" w:firstLineChars="100"/>
            </w:pPr>
            <w:r>
              <w:rPr>
                <w:rFonts w:hint="eastAsia"/>
              </w:rPr>
              <w:t>总锁</w:t>
            </w:r>
          </w:p>
        </w:tc>
        <w:tc>
          <w:tcPr>
            <w:tcW w:w="992" w:type="dxa"/>
            <w:noWrap/>
            <w:vAlign w:val="center"/>
          </w:tcPr>
          <w:p>
            <w:pPr>
              <w:ind w:firstLine="210" w:firstLineChars="100"/>
            </w:pPr>
            <w:r>
              <w:rPr>
                <w:rFonts w:hint="eastAsia"/>
              </w:rPr>
              <w:t>豪华型</w:t>
            </w:r>
          </w:p>
        </w:tc>
        <w:tc>
          <w:tcPr>
            <w:tcW w:w="1134" w:type="dxa"/>
            <w:noWrap/>
            <w:vAlign w:val="center"/>
          </w:tcPr>
          <w:p>
            <w:pPr>
              <w:ind w:firstLine="210" w:firstLineChars="100"/>
            </w:pPr>
            <w:r>
              <w:rPr>
                <w:rFonts w:hint="eastAsia"/>
              </w:rPr>
              <w:t>钥匙锁</w:t>
            </w:r>
          </w:p>
        </w:tc>
        <w:tc>
          <w:tcPr>
            <w:tcW w:w="4461" w:type="dxa"/>
            <w:vMerge w:val="restart"/>
            <w:noWrap/>
            <w:vAlign w:val="center"/>
          </w:tcPr>
          <w:p>
            <w:pPr>
              <w:ind w:firstLine="210" w:firstLineChars="100"/>
            </w:pPr>
            <w:r>
              <w:rPr>
                <w:rFonts w:hint="eastAsia"/>
              </w:rPr>
              <w:t>每组密集架应分别装有边列锁定装具和中间列制动装置，每一列均可单独锁定。每个组合团体的前后列各装有总锁，用于整体的锁闭，起到保密作用，各列移开后中间列可单独制动。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567" w:type="dxa"/>
            <w:vMerge w:val="continue"/>
            <w:noWrap/>
            <w:vAlign w:val="center"/>
          </w:tcPr>
          <w:p>
            <w:pPr>
              <w:numPr>
                <w:ilvl w:val="0"/>
                <w:numId w:val="6"/>
              </w:numPr>
              <w:ind w:left="425" w:leftChars="0" w:hanging="425" w:firstLineChars="0"/>
              <w:jc w:val="center"/>
            </w:pPr>
          </w:p>
        </w:tc>
        <w:tc>
          <w:tcPr>
            <w:tcW w:w="709" w:type="dxa"/>
            <w:vMerge w:val="continue"/>
            <w:noWrap/>
            <w:vAlign w:val="center"/>
          </w:tcPr>
          <w:p>
            <w:pPr>
              <w:ind w:firstLine="210" w:firstLineChars="100"/>
            </w:pPr>
          </w:p>
        </w:tc>
        <w:tc>
          <w:tcPr>
            <w:tcW w:w="992" w:type="dxa"/>
            <w:noWrap/>
            <w:vAlign w:val="center"/>
          </w:tcPr>
          <w:p>
            <w:r>
              <w:rPr>
                <w:rFonts w:hint="eastAsia"/>
              </w:rPr>
              <w:t>中间列制动装置</w:t>
            </w:r>
          </w:p>
        </w:tc>
        <w:tc>
          <w:tcPr>
            <w:tcW w:w="851" w:type="dxa"/>
            <w:noWrap/>
            <w:vAlign w:val="center"/>
          </w:tcPr>
          <w:p>
            <w:r>
              <w:rPr>
                <w:rFonts w:hint="eastAsia"/>
              </w:rPr>
              <w:t>制动开关</w:t>
            </w:r>
          </w:p>
        </w:tc>
        <w:tc>
          <w:tcPr>
            <w:tcW w:w="992" w:type="dxa"/>
            <w:noWrap/>
            <w:vAlign w:val="center"/>
          </w:tcPr>
          <w:p>
            <w:pPr>
              <w:ind w:firstLine="210" w:firstLineChars="100"/>
            </w:pPr>
            <w:r>
              <w:rPr>
                <w:rFonts w:hint="eastAsia"/>
              </w:rPr>
              <w:t>豪华型</w:t>
            </w:r>
          </w:p>
        </w:tc>
        <w:tc>
          <w:tcPr>
            <w:tcW w:w="1134" w:type="dxa"/>
            <w:noWrap/>
            <w:vAlign w:val="center"/>
          </w:tcPr>
          <w:p>
            <w:pPr>
              <w:ind w:firstLine="210" w:firstLineChars="100"/>
            </w:pPr>
            <w:r>
              <w:rPr>
                <w:rFonts w:hint="eastAsia"/>
              </w:rPr>
              <w:t>扳动锁</w:t>
            </w:r>
          </w:p>
        </w:tc>
        <w:tc>
          <w:tcPr>
            <w:tcW w:w="4461" w:type="dxa"/>
            <w:vMerge w:val="continue"/>
            <w:noWrap/>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567" w:type="dxa"/>
            <w:vMerge w:val="restart"/>
            <w:noWrap/>
            <w:vAlign w:val="center"/>
          </w:tcPr>
          <w:p>
            <w:pPr>
              <w:numPr>
                <w:ilvl w:val="0"/>
                <w:numId w:val="5"/>
              </w:numPr>
              <w:ind w:left="425" w:leftChars="0" w:hanging="425" w:firstLineChars="0"/>
              <w:jc w:val="center"/>
              <w:rPr>
                <w:highlight w:val="none"/>
              </w:rPr>
            </w:pPr>
          </w:p>
        </w:tc>
        <w:tc>
          <w:tcPr>
            <w:tcW w:w="709" w:type="dxa"/>
            <w:vMerge w:val="restart"/>
            <w:noWrap/>
            <w:vAlign w:val="center"/>
          </w:tcPr>
          <w:p>
            <w:pPr>
              <w:rPr>
                <w:highlight w:val="none"/>
              </w:rPr>
            </w:pPr>
            <w:r>
              <w:rPr>
                <w:rFonts w:hint="eastAsia"/>
                <w:highlight w:val="none"/>
              </w:rPr>
              <w:t>防护装置</w:t>
            </w:r>
          </w:p>
        </w:tc>
        <w:tc>
          <w:tcPr>
            <w:tcW w:w="992" w:type="dxa"/>
            <w:noWrap/>
            <w:vAlign w:val="center"/>
          </w:tcPr>
          <w:p>
            <w:pPr>
              <w:ind w:firstLine="210" w:firstLineChars="100"/>
              <w:rPr>
                <w:highlight w:val="none"/>
              </w:rPr>
            </w:pPr>
            <w:r>
              <w:rPr>
                <w:rFonts w:hint="eastAsia"/>
                <w:highlight w:val="none"/>
              </w:rPr>
              <w:t>密封条</w:t>
            </w:r>
          </w:p>
        </w:tc>
        <w:tc>
          <w:tcPr>
            <w:tcW w:w="851" w:type="dxa"/>
            <w:noWrap/>
            <w:vAlign w:val="center"/>
          </w:tcPr>
          <w:p>
            <w:pPr>
              <w:rPr>
                <w:highlight w:val="none"/>
              </w:rPr>
            </w:pPr>
            <w:r>
              <w:rPr>
                <w:rFonts w:hint="eastAsia"/>
                <w:highlight w:val="none"/>
              </w:rPr>
              <w:t>抗老化橡胶磁性密封条</w:t>
            </w:r>
          </w:p>
        </w:tc>
        <w:tc>
          <w:tcPr>
            <w:tcW w:w="992" w:type="dxa"/>
            <w:noWrap/>
            <w:vAlign w:val="center"/>
          </w:tcPr>
          <w:p>
            <w:pPr>
              <w:ind w:firstLine="210" w:firstLineChars="100"/>
              <w:rPr>
                <w:highlight w:val="none"/>
              </w:rPr>
            </w:pPr>
            <w:r>
              <w:rPr>
                <w:rFonts w:hint="eastAsia"/>
                <w:highlight w:val="none"/>
              </w:rPr>
              <w:t>磁性吸条</w:t>
            </w:r>
          </w:p>
        </w:tc>
        <w:tc>
          <w:tcPr>
            <w:tcW w:w="1134" w:type="dxa"/>
            <w:noWrap/>
            <w:vAlign w:val="center"/>
          </w:tcPr>
          <w:p>
            <w:pPr>
              <w:ind w:firstLine="210" w:firstLineChars="100"/>
              <w:rPr>
                <w:highlight w:val="none"/>
              </w:rPr>
            </w:pPr>
            <w:r>
              <w:rPr>
                <w:rFonts w:hint="eastAsia"/>
                <w:highlight w:val="none"/>
              </w:rPr>
              <w:t>≥20mm</w:t>
            </w:r>
          </w:p>
        </w:tc>
        <w:tc>
          <w:tcPr>
            <w:tcW w:w="4461" w:type="dxa"/>
            <w:vMerge w:val="restart"/>
            <w:noWrap/>
            <w:vAlign w:val="center"/>
          </w:tcPr>
          <w:p>
            <w:pPr>
              <w:ind w:firstLine="420" w:firstLineChars="200"/>
              <w:rPr>
                <w:highlight w:val="none"/>
              </w:rPr>
            </w:pPr>
            <w:r>
              <w:rPr>
                <w:rFonts w:hint="eastAsia"/>
                <w:highlight w:val="none"/>
              </w:rPr>
              <w:t>每列密集架上部、下部和接触面应装有符合标准规范的防尘装置、防倾倒装置和缓冲密封装置，具有防尘、防光、防水、防潮、防火等功能。防倾倒装置确保密集架在运动过程中或静止状态下都能起到良好的防倾倒的作用，确保人员安全。</w:t>
            </w:r>
          </w:p>
          <w:p>
            <w:pPr>
              <w:ind w:firstLine="420" w:firstLineChars="200"/>
              <w:rPr>
                <w:highlight w:val="none"/>
              </w:rPr>
            </w:pPr>
            <w:r>
              <w:rPr>
                <w:rFonts w:hint="eastAsia"/>
                <w:highlight w:val="none"/>
              </w:rPr>
              <w:t>密封条须符合：断裂伸长率/%≥350，邵氏硬度≥75。</w:t>
            </w:r>
            <w:r>
              <w:rPr>
                <w:rFonts w:hint="eastAsia"/>
                <w:b/>
                <w:bCs/>
                <w:highlight w:val="none"/>
              </w:rPr>
              <w:t>提供具有CMA或CNAS标识的检验检测报告复印件作为评审依据，同时在检验检测报告中须能反映且满足上述参数要求。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7" w:hRule="atLeast"/>
          <w:jc w:val="center"/>
        </w:trPr>
        <w:tc>
          <w:tcPr>
            <w:tcW w:w="567" w:type="dxa"/>
            <w:vMerge w:val="continue"/>
            <w:noWrap/>
            <w:vAlign w:val="center"/>
          </w:tcPr>
          <w:p>
            <w:pPr>
              <w:ind w:firstLine="210" w:firstLineChars="100"/>
              <w:rPr>
                <w:highlight w:val="none"/>
              </w:rPr>
            </w:pPr>
          </w:p>
        </w:tc>
        <w:tc>
          <w:tcPr>
            <w:tcW w:w="709" w:type="dxa"/>
            <w:vMerge w:val="continue"/>
            <w:noWrap/>
            <w:vAlign w:val="center"/>
          </w:tcPr>
          <w:p>
            <w:pPr>
              <w:ind w:firstLine="210" w:firstLineChars="100"/>
              <w:rPr>
                <w:highlight w:val="none"/>
              </w:rPr>
            </w:pPr>
          </w:p>
        </w:tc>
        <w:tc>
          <w:tcPr>
            <w:tcW w:w="992" w:type="dxa"/>
            <w:noWrap/>
            <w:vAlign w:val="center"/>
          </w:tcPr>
          <w:p>
            <w:pPr>
              <w:ind w:firstLine="210" w:firstLineChars="100"/>
              <w:rPr>
                <w:highlight w:val="none"/>
              </w:rPr>
            </w:pPr>
            <w:r>
              <w:rPr>
                <w:rFonts w:hint="eastAsia"/>
                <w:highlight w:val="none"/>
              </w:rPr>
              <w:t>防尘板</w:t>
            </w:r>
          </w:p>
        </w:tc>
        <w:tc>
          <w:tcPr>
            <w:tcW w:w="851" w:type="dxa"/>
            <w:noWrap/>
            <w:vAlign w:val="center"/>
          </w:tcPr>
          <w:p>
            <w:pPr>
              <w:rPr>
                <w:highlight w:val="none"/>
              </w:rPr>
            </w:pPr>
            <w:r>
              <w:rPr>
                <w:rFonts w:hint="eastAsia"/>
                <w:highlight w:val="none"/>
              </w:rPr>
              <w:t>冷轧</w:t>
            </w:r>
            <w:r>
              <w:rPr>
                <w:rFonts w:hint="eastAsia"/>
                <w:highlight w:val="none"/>
              </w:rPr>
              <w:br w:type="textWrapping"/>
            </w:r>
            <w:r>
              <w:rPr>
                <w:rFonts w:hint="eastAsia"/>
                <w:highlight w:val="none"/>
              </w:rPr>
              <w:t>钢板</w:t>
            </w:r>
          </w:p>
        </w:tc>
        <w:tc>
          <w:tcPr>
            <w:tcW w:w="992" w:type="dxa"/>
            <w:noWrap/>
            <w:vAlign w:val="center"/>
          </w:tcPr>
          <w:p>
            <w:pPr>
              <w:ind w:firstLine="210" w:firstLineChars="100"/>
              <w:rPr>
                <w:highlight w:val="none"/>
              </w:rPr>
            </w:pPr>
            <w:r>
              <w:rPr>
                <w:rFonts w:hint="eastAsia"/>
                <w:highlight w:val="none"/>
              </w:rPr>
              <w:t>GB 708</w:t>
            </w:r>
          </w:p>
        </w:tc>
        <w:tc>
          <w:tcPr>
            <w:tcW w:w="1134" w:type="dxa"/>
            <w:noWrap/>
            <w:vAlign w:val="center"/>
          </w:tcPr>
          <w:p>
            <w:pPr>
              <w:ind w:firstLine="210" w:firstLineChars="100"/>
              <w:rPr>
                <w:highlight w:val="none"/>
              </w:rPr>
            </w:pPr>
            <w:r>
              <w:rPr>
                <w:rFonts w:hint="eastAsia"/>
                <w:highlight w:val="none"/>
              </w:rPr>
              <w:t>δ≥1.0</w:t>
            </w:r>
          </w:p>
        </w:tc>
        <w:tc>
          <w:tcPr>
            <w:tcW w:w="4461" w:type="dxa"/>
            <w:vMerge w:val="continue"/>
            <w:noWrap/>
            <w:vAlign w:val="center"/>
          </w:tcPr>
          <w:p>
            <w:pPr>
              <w:ind w:firstLine="210" w:firstLineChars="10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567" w:type="dxa"/>
            <w:vMerge w:val="continue"/>
            <w:noWrap/>
            <w:vAlign w:val="center"/>
          </w:tcPr>
          <w:p>
            <w:pPr>
              <w:ind w:firstLine="210" w:firstLineChars="100"/>
              <w:rPr>
                <w:highlight w:val="none"/>
              </w:rPr>
            </w:pPr>
          </w:p>
        </w:tc>
        <w:tc>
          <w:tcPr>
            <w:tcW w:w="709" w:type="dxa"/>
            <w:vMerge w:val="continue"/>
            <w:noWrap/>
            <w:vAlign w:val="center"/>
          </w:tcPr>
          <w:p>
            <w:pPr>
              <w:ind w:firstLine="210" w:firstLineChars="100"/>
              <w:rPr>
                <w:highlight w:val="none"/>
              </w:rPr>
            </w:pPr>
          </w:p>
        </w:tc>
        <w:tc>
          <w:tcPr>
            <w:tcW w:w="992" w:type="dxa"/>
            <w:noWrap/>
            <w:vAlign w:val="center"/>
          </w:tcPr>
          <w:p>
            <w:pPr>
              <w:ind w:firstLine="210" w:firstLineChars="100"/>
              <w:rPr>
                <w:highlight w:val="none"/>
              </w:rPr>
            </w:pPr>
            <w:r>
              <w:rPr>
                <w:rFonts w:hint="eastAsia"/>
                <w:highlight w:val="none"/>
              </w:rPr>
              <w:t>防倾倒</w:t>
            </w:r>
          </w:p>
          <w:p>
            <w:pPr>
              <w:ind w:firstLine="210" w:firstLineChars="100"/>
              <w:rPr>
                <w:highlight w:val="none"/>
              </w:rPr>
            </w:pPr>
            <w:r>
              <w:rPr>
                <w:rFonts w:hint="eastAsia"/>
                <w:highlight w:val="none"/>
              </w:rPr>
              <w:t>装置</w:t>
            </w:r>
          </w:p>
        </w:tc>
        <w:tc>
          <w:tcPr>
            <w:tcW w:w="851" w:type="dxa"/>
            <w:noWrap/>
            <w:vAlign w:val="center"/>
          </w:tcPr>
          <w:p>
            <w:pPr>
              <w:rPr>
                <w:highlight w:val="none"/>
              </w:rPr>
            </w:pPr>
            <w:r>
              <w:rPr>
                <w:rFonts w:hint="eastAsia"/>
                <w:highlight w:val="none"/>
              </w:rPr>
              <w:t>冷轧</w:t>
            </w:r>
            <w:r>
              <w:rPr>
                <w:rFonts w:hint="eastAsia"/>
                <w:highlight w:val="none"/>
              </w:rPr>
              <w:br w:type="textWrapping"/>
            </w:r>
            <w:r>
              <w:rPr>
                <w:rFonts w:hint="eastAsia"/>
                <w:highlight w:val="none"/>
              </w:rPr>
              <w:t>钢板</w:t>
            </w:r>
          </w:p>
        </w:tc>
        <w:tc>
          <w:tcPr>
            <w:tcW w:w="992" w:type="dxa"/>
            <w:noWrap/>
            <w:vAlign w:val="center"/>
          </w:tcPr>
          <w:p>
            <w:pPr>
              <w:ind w:firstLine="210" w:firstLineChars="100"/>
              <w:rPr>
                <w:highlight w:val="none"/>
              </w:rPr>
            </w:pPr>
            <w:r>
              <w:rPr>
                <w:rFonts w:hint="eastAsia"/>
                <w:highlight w:val="none"/>
              </w:rPr>
              <w:t>GB 708</w:t>
            </w:r>
          </w:p>
        </w:tc>
        <w:tc>
          <w:tcPr>
            <w:tcW w:w="1134" w:type="dxa"/>
            <w:noWrap/>
            <w:vAlign w:val="center"/>
          </w:tcPr>
          <w:p>
            <w:pPr>
              <w:ind w:firstLine="210" w:firstLineChars="100"/>
              <w:rPr>
                <w:highlight w:val="none"/>
              </w:rPr>
            </w:pPr>
            <w:r>
              <w:rPr>
                <w:rFonts w:hint="eastAsia"/>
                <w:highlight w:val="none"/>
              </w:rPr>
              <w:t>δ≥3.0</w:t>
            </w:r>
          </w:p>
        </w:tc>
        <w:tc>
          <w:tcPr>
            <w:tcW w:w="4461" w:type="dxa"/>
            <w:vMerge w:val="continue"/>
            <w:noWrap/>
            <w:vAlign w:val="center"/>
          </w:tcPr>
          <w:p>
            <w:pPr>
              <w:ind w:firstLine="210" w:firstLineChars="100"/>
              <w:rPr>
                <w:highlight w:val="none"/>
              </w:rPr>
            </w:pPr>
          </w:p>
        </w:tc>
      </w:tr>
    </w:tbl>
    <w:p>
      <w:pPr>
        <w:ind w:firstLine="422" w:firstLineChars="200"/>
        <w:rPr>
          <w:b w:val="0"/>
          <w:bCs w:val="0"/>
          <w:highlight w:val="yellow"/>
        </w:rPr>
      </w:pPr>
      <w:r>
        <w:rPr>
          <w:rFonts w:hint="eastAsia"/>
          <w:b/>
          <w:bCs/>
          <w:highlight w:val="none"/>
        </w:rPr>
        <w:t>密集架</w:t>
      </w:r>
      <w:r>
        <w:rPr>
          <w:rFonts w:hint="eastAsia"/>
          <w:b w:val="0"/>
          <w:bCs w:val="0"/>
          <w:highlight w:val="none"/>
        </w:rPr>
        <w:t>采用的冷轧钢板厚度分别不小于1.0mm、1.2mm、1.5mm、3.0mm。</w:t>
      </w:r>
      <w:r>
        <w:rPr>
          <w:rFonts w:hint="eastAsia"/>
          <w:b/>
          <w:bCs/>
          <w:highlight w:val="none"/>
        </w:rPr>
        <w:t>在投标文件中提供具有CMA或CNAS标识的国家认可的第三方检测中心出具的的有效期内抽样检测报告复印件，</w:t>
      </w:r>
      <w:r>
        <w:rPr>
          <w:rFonts w:hint="eastAsia"/>
          <w:b w:val="0"/>
          <w:bCs w:val="0"/>
          <w:highlight w:val="none"/>
        </w:rPr>
        <w:t>检测内容需包含力学性能检测（抗拉强度≥400Mpa，塑性延伸强度≥250Mpa，断后伸长率≥30%，断面收缩率≥25%）和化学成分检测（化学成分包括C、Si、Mn、P、S、Al、B等元素），检测依据：QB/T 4767-2014、GB/T 228.1-2021和GB/T 4336-2016。</w:t>
      </w:r>
    </w:p>
    <w:p>
      <w:pPr>
        <w:ind w:firstLine="422" w:firstLineChars="200"/>
      </w:pPr>
      <w:r>
        <w:rPr>
          <w:rFonts w:hint="eastAsia"/>
          <w:b/>
          <w:bCs/>
        </w:rPr>
        <w:t>钢制部件</w:t>
      </w:r>
      <w:r>
        <w:rPr>
          <w:rFonts w:hint="eastAsia"/>
        </w:rPr>
        <w:t>表面处理工艺要求：所有钢制部件表面均需采用环保热固性粉末静电喷涂工艺进行处理。在喷塑前，需进行多道工序处理（预脱脂、主脱脂、除锈、水洗、表调、水洗、镀膜、预烘干、喷涂、塑层固化）。所有钣金件，加工后打磨毛刺、无裂缝、无伤痕；冲压件平整无毛刺、无裂痕，冲压尺寸的误差控制在±2.0mm之内，冲压表面不允许有裂痕。表面涂饰应平整光滑，色泽均匀一致，不允许有流挂、起粒、露底、剥落、伤痕等缺陷。各标准件、紧固件均进行防锈(镀锌)处理，表面光滑、平整，无尖角。</w:t>
      </w:r>
    </w:p>
    <w:p>
      <w:pPr>
        <w:ind w:firstLine="422" w:firstLineChars="200"/>
      </w:pPr>
      <w:r>
        <w:rPr>
          <w:rFonts w:hint="eastAsia"/>
          <w:b/>
          <w:bCs/>
        </w:rPr>
        <w:t>架体安装及要求：</w:t>
      </w:r>
      <w:r>
        <w:rPr>
          <w:rFonts w:hint="eastAsia"/>
        </w:rPr>
        <w:t>密集架架体各部件安装应牢固可靠，架体不允许有松动、倾斜现象。组装后的密集架不准有影响外观和使用性能的永久形变，在一个组合之间的产品零部件能保持互换性。凡需焊接的部件要焊接牢固，焊痕高度不大于1mm，焊点间距控制在100mm以内。焊痕表面波纹平整，无焊焦、焊穿等现象。每标准节组合后外形尺寸极限偏差±1.5mm，主柱与导轨垂直度≤1mm，密集架侧面应成一直线，凹凸≤1mm，侧面板与中腰带的对缝处的间隙不大于2mm。列与列间隙≤1mm。门与柜架间隙≤1mm。结构强度要求和稳定性试验：搁板最大挠度小于3mm，满负荷24小时卸载后，无裂缝及永久变形。层板满负荷24小时后，最大挠度不大于2mm，卸载后自动恢复。卸载后搁板无裂缝、不变形。在全负载的情况下，各列密集架运行自如，无阻滞现象，各构件和架体不会产生明显变形，架体不会产生倾斜现象。</w:t>
      </w:r>
    </w:p>
    <w:p>
      <w:pPr>
        <w:ind w:firstLine="422" w:firstLineChars="200"/>
        <w:rPr>
          <w:highlight w:val="none"/>
        </w:rPr>
      </w:pPr>
      <w:r>
        <w:rPr>
          <w:rFonts w:hint="eastAsia"/>
          <w:b/>
          <w:bCs/>
          <w:highlight w:val="none"/>
        </w:rPr>
        <w:t>提供具有CMA或CNAS标识的国家认可的第三方检测中心出具的的有效期内手动密集架检测报告复印件，</w:t>
      </w:r>
      <w:r>
        <w:rPr>
          <w:rFonts w:hint="eastAsia"/>
          <w:highlight w:val="none"/>
        </w:rPr>
        <w:t>检测项须包含：表面涂层理化性能：硬度、冲击强度、附着力、耐腐蚀；装配要求：尺寸偏差、垂直度、可调性、防倾倒；载重性能：搁板静载荷、全静载荷、载重运行；稳定性：空载稳定性、加载稳定性、搁板水平加载稳定性；产品有害物质：甲醛释放量、总挥发性有机化合物；盐雾试验：盐雾试验。</w:t>
      </w:r>
    </w:p>
    <w:p>
      <w:pPr>
        <w:numPr>
          <w:ilvl w:val="0"/>
          <w:numId w:val="7"/>
        </w:numPr>
        <w:ind w:firstLine="211" w:firstLineChars="100"/>
        <w:rPr>
          <w:rFonts w:hint="eastAsia"/>
          <w:b/>
          <w:bCs/>
        </w:rPr>
      </w:pPr>
      <w:r>
        <w:rPr>
          <w:rFonts w:hint="eastAsia"/>
          <w:b/>
          <w:bCs/>
        </w:rPr>
        <w:t>智能信息化控制系统功能要求</w:t>
      </w:r>
      <w:r>
        <w:rPr>
          <w:rFonts w:hint="eastAsia"/>
          <w:b/>
          <w:bCs/>
          <w:lang w:eastAsia="zh-CN"/>
        </w:rPr>
        <w:t>：</w:t>
      </w:r>
    </w:p>
    <w:p>
      <w:pPr>
        <w:numPr>
          <w:numId w:val="0"/>
        </w:numPr>
        <w:rPr>
          <w:rFonts w:hint="eastAsia"/>
          <w:b/>
          <w:bCs/>
        </w:rPr>
      </w:pPr>
    </w:p>
    <w:tbl>
      <w:tblPr>
        <w:tblStyle w:val="14"/>
        <w:tblW w:w="94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706"/>
        <w:gridCol w:w="1764"/>
        <w:gridCol w:w="6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DCD8C2"/>
            <w:vAlign w:val="center"/>
          </w:tcPr>
          <w:p>
            <w:pPr>
              <w:rPr>
                <w:b/>
                <w:bCs/>
              </w:rPr>
            </w:pPr>
            <w:r>
              <w:rPr>
                <w:rFonts w:hint="eastAsia"/>
                <w:b/>
                <w:bCs/>
              </w:rPr>
              <w:t>功能</w:t>
            </w:r>
          </w:p>
        </w:tc>
        <w:tc>
          <w:tcPr>
            <w:tcW w:w="706" w:type="dxa"/>
            <w:tcBorders>
              <w:top w:val="single" w:color="000000" w:sz="4" w:space="0"/>
              <w:left w:val="single" w:color="000000" w:sz="4" w:space="0"/>
              <w:bottom w:val="single" w:color="000000" w:sz="4" w:space="0"/>
              <w:right w:val="single" w:color="000000" w:sz="4" w:space="0"/>
            </w:tcBorders>
            <w:shd w:val="clear" w:color="auto" w:fill="DCD8C2"/>
            <w:vAlign w:val="center"/>
          </w:tcPr>
          <w:p>
            <w:pPr>
              <w:jc w:val="both"/>
              <w:rPr>
                <w:rFonts w:hint="eastAsia" w:eastAsia="宋体"/>
                <w:b/>
                <w:bCs/>
                <w:lang w:eastAsia="zh-CN"/>
              </w:rPr>
            </w:pPr>
            <w:r>
              <w:rPr>
                <w:rFonts w:hint="eastAsia"/>
                <w:b/>
                <w:bCs/>
                <w:lang w:val="en-US" w:eastAsia="zh-CN"/>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DCD8C2"/>
            <w:vAlign w:val="center"/>
          </w:tcPr>
          <w:p>
            <w:pPr>
              <w:ind w:firstLine="211" w:firstLineChars="100"/>
              <w:rPr>
                <w:b/>
                <w:bCs/>
              </w:rPr>
            </w:pPr>
            <w:r>
              <w:rPr>
                <w:rFonts w:hint="eastAsia"/>
                <w:b/>
                <w:bCs/>
              </w:rPr>
              <w:t>要求</w:t>
            </w:r>
          </w:p>
        </w:tc>
        <w:tc>
          <w:tcPr>
            <w:tcW w:w="6258" w:type="dxa"/>
            <w:tcBorders>
              <w:top w:val="single" w:color="000000" w:sz="4" w:space="0"/>
              <w:left w:val="single" w:color="000000" w:sz="4" w:space="0"/>
              <w:bottom w:val="single" w:color="000000" w:sz="4" w:space="0"/>
              <w:right w:val="single" w:color="000000" w:sz="4" w:space="0"/>
            </w:tcBorders>
            <w:shd w:val="clear" w:color="auto" w:fill="DCD8C2"/>
            <w:vAlign w:val="center"/>
          </w:tcPr>
          <w:p>
            <w:pPr>
              <w:ind w:firstLine="1476" w:firstLineChars="700"/>
              <w:rPr>
                <w:b/>
                <w:bCs/>
              </w:rPr>
            </w:pPr>
            <w:r>
              <w:rPr>
                <w:rFonts w:hint="eastAsia"/>
                <w:b/>
                <w:bC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基本功能</w:t>
            </w: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质量保证</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应从技术上确保免费维护承诺及质量保证，应采用嵌入式控制方式、无刷直流电机驱动、红外传感器不使用时自动关闭等有效技术保障方案或措施。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人机交互</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固定列应采用1</w:t>
            </w:r>
            <w:r>
              <w:t>5</w:t>
            </w:r>
            <w:r>
              <w:rPr>
                <w:rFonts w:hint="eastAsia"/>
              </w:rPr>
              <w:t>寸及以上彩色液晶电容触摸屏控制，活动列应采用8寸及以上的彩色液晶触摸屏控制。</w:t>
            </w:r>
          </w:p>
          <w:p>
            <w:pPr>
              <w:ind w:firstLine="210" w:firstLineChars="100"/>
            </w:pPr>
            <w:r>
              <w:rPr>
                <w:rFonts w:hint="eastAsia"/>
              </w:rPr>
              <w:t>通过密集架的触控屏控制密集架移动列架体的左移、右移、停止、合架、休眠。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固定列控制器</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固定列控制器CPU应不低于4核1.8G，既不能是商用电脑，也不能是单片机系统。操作系统应采用Android系统，确保系统安全。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驱动电机</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驱动电机应采用24V直流不超过150W无刷直流电机驱动。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双目摄像头角度调节功能</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可手动调节固定列控制器的双目摄像头视频采集角度。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人脸识别功能</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可通过固定列控制器双目摄像头进行活体人脸识别身份验证，验证通过后可进行管控操作。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屏幕厚度</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固定列屏幕采用铝合金外壳，触摸显示屏采用防爆触摸显示一体屏，整体应美观大方。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系统指纹仪指标要求</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指纹识别错误率为0.001%时，错误拒绝率应小于或等于0.8%。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移动列运行状态显示功能</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可通过移动列控制器触摸显示屏显示移动列的运行状态，包括移动距离和工作电流。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通风功能</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密集架应具有通风功能：可通过控制器触摸显示屏进行通风操作；通风时间可进行手动设置；当环境温湿度超过阈值时，应自动通风，且所有架体等距离均匀打开；当密集架处于通风状态时进行语音控制，应给出不可操作语音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电控配件盒</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架体控制部分应考虑美观和用电安全，架体控制板和开关电源应安装在标准化设计的配件盒中，固定列配件盒和移动列配件盒应采用统一尺寸，接口应采用稳定、安全、统一的接口。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语音提示</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操作过程应有语音提示，语音模块应集成到固定列控制器上，不能散乱放置。应可设置语音音量，并可切换男女声。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照明灯控制</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架内LED照明灯应采用智能控制模式，架内有人照明灯点亮，架内无人照明灯自动熄灭。也可在移动列屏幕上手动打开本列照明灯。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公告发布</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具有相关权限的管理员可通过客户端软件或固定列触摸显示屏选择特定的区列发布/取消发布公告，并通过外接LED 显示屏显示公告信息。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通道权限管理功能检验</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可固定列控制器触摸显示屏设置每个通道管理权限，将每个通道与人员绑定，指定通道权限的人员仅能打开相应的授权通道，不能打开非授权通道。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手势滑动</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应可通过在触摸显示屏上进行手势滑动控制移动列，向左滑动时活动列向左移动向右滑动时活动列向右移动，向下滑动时活动列全部关闭进行合架，向上滑动时活动列全部开启进行通风。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语音休眠</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可通过语音控制密集架进入休眠状态，且移动列进入锁定状态，不可操作。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人体安全保护</w:t>
            </w: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本质安全的防挤压保护</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由于没有任何传感器可确保终身使用范围内的故障率为0，在大量及长时间使用时，几乎一定会有故障。应提供类似电梯门等类似场合下的永不失效的防挤压保护功能。不论空载及满载，运动方向任意位置受力10KG以下要求能可靠停止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红外数人头</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架内防挤红外应与数人头红外对射合二为一，即有利于功能统一，也便于组装维护。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通道人员检测功能</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具有人员计数功能的发射模块和接收模块安装在通道两侧后，可通过客户端软件对进出通道的人员进行检测，并进行数据统计。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识别距离</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具有红外识别功能的发射模块和接收模块之间的最大识别距离不小于12m。具有人员计数功能的发射模块和接收模块之间的最大识别距离不小于2m。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语音对讲及声音复核功能</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智能密集架和平台软件之间可进行双向语音对讲，对讲音声音应清晰可辨，并可通过平台软件进行声音录音复核。对讲或复核语音可存储在服务器平台，存储时间应≥30d。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远程封架功能检验</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可通过平台软件进行远程封架/解封操作。封架后，智能密集架无法进行任何操作，当手动摇开架体时，可给出报警信息；解封后，智能密集架可正常使用。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安全插头</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列与列之间220V供电插头，应选用安全插头，不应选用绿端子，保证安全用电。插头应具备锁止装置，防止意外拔出。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安全防范</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智能密集架控制系统应符合GB/T28181-2016公共安全视频监控联网系统信息传输、交换、控制技术要求。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vAlign w:val="center"/>
          </w:tcPr>
          <w:p>
            <w:r>
              <w:rPr>
                <w:rFonts w:hint="eastAsia"/>
              </w:rPr>
              <w:t>系统技术指标</w:t>
            </w: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电机电源信号线</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连接电机的电源信号线应使用集成线缆，美观且集成度高。</w:t>
            </w:r>
          </w:p>
          <w:p>
            <w:pPr>
              <w:ind w:firstLine="210" w:firstLineChars="100"/>
            </w:pPr>
            <w:r>
              <w:rPr>
                <w:rFonts w:hint="eastAsia"/>
              </w:rPr>
              <w:t>电机电源信号线的转移电阻应符合GA/T 1297-2016电气性能的转移阻抗参数要求,1Mhz信号情况下，转移电阻应≤10mΩ/m，不应产生互干扰，保证信号安全。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档案库房智能综合管理系统</w:t>
            </w: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档案定位</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查找到的档案位置信息能在电脑端以图形化等直观方式显示，定位要求直观及显示到最小单元。能以语音提示档案放置位置及档案编号。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ind w:firstLine="210" w:firstLineChars="100"/>
            </w:pP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固定列控制器数据备份功能</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可通过平台软件对固定列控制器内的档案信息数据进行手动备份或定时备份，可设置定时自动备份。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vAlign w:val="center"/>
          </w:tcPr>
          <w:p>
            <w:r>
              <w:rPr>
                <w:rFonts w:hint="eastAsia"/>
              </w:rPr>
              <w:t>商密安全防护认证</w:t>
            </w:r>
          </w:p>
        </w:tc>
        <w:tc>
          <w:tcPr>
            <w:tcW w:w="706" w:type="dxa"/>
            <w:tcBorders>
              <w:top w:val="single" w:color="000000" w:sz="4" w:space="0"/>
              <w:left w:val="single" w:color="000000" w:sz="4" w:space="0"/>
              <w:bottom w:val="single" w:color="000000" w:sz="4" w:space="0"/>
              <w:right w:val="single" w:color="000000" w:sz="4" w:space="0"/>
            </w:tcBorders>
            <w:vAlign w:val="center"/>
          </w:tcPr>
          <w:p>
            <w:pPr>
              <w:numPr>
                <w:ilvl w:val="0"/>
                <w:numId w:val="8"/>
              </w:numPr>
              <w:ind w:left="425" w:leftChars="0" w:hanging="425" w:firstLineChars="0"/>
              <w:jc w:val="center"/>
            </w:pPr>
          </w:p>
        </w:tc>
        <w:tc>
          <w:tcPr>
            <w:tcW w:w="1764" w:type="dxa"/>
            <w:tcBorders>
              <w:top w:val="single" w:color="000000" w:sz="4" w:space="0"/>
              <w:left w:val="single" w:color="000000" w:sz="4" w:space="0"/>
              <w:bottom w:val="single" w:color="000000" w:sz="4" w:space="0"/>
              <w:right w:val="single" w:color="000000" w:sz="4" w:space="0"/>
            </w:tcBorders>
            <w:vAlign w:val="center"/>
          </w:tcPr>
          <w:p>
            <w:r>
              <w:rPr>
                <w:rFonts w:hint="eastAsia"/>
              </w:rPr>
              <w:t>智能密集架控制器、档案库房智能综合管理系统</w:t>
            </w:r>
          </w:p>
        </w:tc>
        <w:tc>
          <w:tcPr>
            <w:tcW w:w="62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pPr>
            <w:r>
              <w:rPr>
                <w:rFonts w:hint="eastAsia"/>
              </w:rPr>
              <w:t>智能密集架控制器和档案库房智能综合管理系统都应对传输数据进行加密。</w:t>
            </w:r>
          </w:p>
        </w:tc>
      </w:tr>
    </w:tbl>
    <w:p>
      <w:pPr>
        <w:pStyle w:val="24"/>
        <w:numPr>
          <w:ilvl w:val="0"/>
          <w:numId w:val="0"/>
        </w:numPr>
        <w:tabs>
          <w:tab w:val="left" w:pos="0"/>
          <w:tab w:val="left" w:pos="142"/>
          <w:tab w:val="clear" w:pos="709"/>
        </w:tabs>
        <w:spacing w:line="340" w:lineRule="exact"/>
        <w:ind w:firstLine="482" w:firstLineChars="200"/>
        <w:rPr>
          <w:rFonts w:hint="eastAsia" w:cs="楷体"/>
          <w:b/>
          <w:bCs/>
          <w:sz w:val="24"/>
        </w:rPr>
      </w:pPr>
    </w:p>
    <w:p>
      <w:pPr>
        <w:tabs>
          <w:tab w:val="left" w:pos="720"/>
        </w:tabs>
        <w:spacing w:line="276" w:lineRule="auto"/>
        <w:outlineLvl w:val="0"/>
        <w:rPr>
          <w:rFonts w:ascii="宋体" w:hAnsi="宋体" w:cs="楷体"/>
          <w:b/>
          <w:bCs/>
          <w:sz w:val="24"/>
        </w:rPr>
      </w:pPr>
    </w:p>
    <w:p>
      <w:pPr>
        <w:spacing w:line="340" w:lineRule="exact"/>
        <w:ind w:firstLine="482" w:firstLineChars="200"/>
        <w:rPr>
          <w:rFonts w:cs="华文楷体" w:asciiTheme="minorEastAsia" w:hAnsiTheme="minorEastAsia" w:eastAsiaTheme="minorEastAsia"/>
          <w:b/>
          <w:sz w:val="24"/>
        </w:rPr>
      </w:pPr>
      <w:r>
        <w:rPr>
          <w:rFonts w:hint="eastAsia" w:cs="华文楷体" w:asciiTheme="minorEastAsia" w:hAnsiTheme="minorEastAsia" w:eastAsiaTheme="minorEastAsia"/>
          <w:b/>
          <w:sz w:val="24"/>
        </w:rPr>
        <w:t>二、其他要求：</w:t>
      </w:r>
    </w:p>
    <w:p>
      <w:pPr>
        <w:spacing w:line="340" w:lineRule="exact"/>
        <w:ind w:firstLine="480" w:firstLineChars="200"/>
        <w:rPr>
          <w:rFonts w:cs="华文楷体" w:asciiTheme="minorEastAsia" w:hAnsiTheme="minorEastAsia" w:eastAsiaTheme="minorEastAsia"/>
          <w:sz w:val="24"/>
        </w:rPr>
      </w:pPr>
      <w:r>
        <w:rPr>
          <w:rFonts w:hint="eastAsia" w:cs="华文楷体" w:asciiTheme="minorEastAsia" w:hAnsiTheme="minorEastAsia" w:eastAsiaTheme="minorEastAsia"/>
          <w:sz w:val="24"/>
        </w:rPr>
        <w:t>1.</w:t>
      </w:r>
      <w:r>
        <w:rPr>
          <w:rFonts w:hint="eastAsia" w:ascii="宋体" w:hAnsi="宋体"/>
          <w:b/>
          <w:sz w:val="24"/>
        </w:rPr>
        <w:t>本项目</w:t>
      </w:r>
      <w:r>
        <w:rPr>
          <w:rFonts w:hint="eastAsia" w:ascii="宋体" w:hAnsi="宋体"/>
          <w:b/>
          <w:sz w:val="24"/>
          <w:lang w:val="en-US" w:eastAsia="zh-CN"/>
        </w:rPr>
        <w:t>整体</w:t>
      </w:r>
      <w:r>
        <w:rPr>
          <w:rFonts w:hint="eastAsia" w:ascii="宋体" w:hAnsi="宋体"/>
          <w:b/>
          <w:sz w:val="24"/>
        </w:rPr>
        <w:t>质保期不少于</w:t>
      </w:r>
      <w:r>
        <w:rPr>
          <w:rFonts w:hint="eastAsia" w:ascii="宋体" w:hAnsi="宋体"/>
          <w:b/>
          <w:sz w:val="24"/>
          <w:lang w:val="en-US" w:eastAsia="zh-CN"/>
        </w:rPr>
        <w:t>5</w:t>
      </w:r>
      <w:r>
        <w:rPr>
          <w:rFonts w:hint="eastAsia" w:ascii="宋体" w:hAnsi="宋体"/>
          <w:b/>
          <w:sz w:val="24"/>
        </w:rPr>
        <w:t>年</w:t>
      </w:r>
      <w:r>
        <w:rPr>
          <w:rFonts w:hint="eastAsia" w:cs="华文楷体" w:asciiTheme="minorEastAsia" w:hAnsiTheme="minorEastAsia" w:eastAsiaTheme="minorEastAsia"/>
          <w:sz w:val="24"/>
        </w:rPr>
        <w:t>，质保期自设备安装及系统调试完毕、经采购单位验收合格之日算起。</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sz w:val="24"/>
        </w:rPr>
        <w:t>2.所供产品应有生产厂、产品编号或生产型号，具有明显的生产厂或品牌标记，易于识别。</w:t>
      </w:r>
      <w:r>
        <w:rPr>
          <w:rFonts w:hint="eastAsia" w:cs="华文楷体" w:asciiTheme="minorEastAsia" w:hAnsiTheme="minorEastAsia" w:eastAsiaTheme="minorEastAsia"/>
          <w:bCs/>
          <w:sz w:val="24"/>
        </w:rPr>
        <w:t>在成交封样阶段和产品批量供货阶段招标方可随机抽取产品进行第三方检测，如发现和投标文件不符，将取消投标人资格并要</w:t>
      </w:r>
      <w:r>
        <w:rPr>
          <w:rFonts w:hint="eastAsia" w:cs="华文楷体" w:asciiTheme="minorEastAsia" w:hAnsiTheme="minorEastAsia" w:eastAsiaTheme="minorEastAsia"/>
          <w:bCs/>
          <w:color w:val="000000" w:themeColor="text1"/>
          <w:sz w:val="24"/>
        </w:rPr>
        <w:t>求承担全部损失。</w:t>
      </w:r>
      <w:r>
        <w:rPr>
          <w:rFonts w:hint="eastAsia" w:cs="华文楷体" w:asciiTheme="minorEastAsia" w:hAnsiTheme="minorEastAsia" w:eastAsiaTheme="minorEastAsia"/>
          <w:bCs/>
          <w:sz w:val="24"/>
        </w:rPr>
        <w:t>供货时成交人需提供主材发货清单原件或复印件加盖生产厂家的公章，并提供生产厂商的联系电话。</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3.提供现场免费安装、调试设备，进行操作试验，直至运行正常，提供操作及维护培训。在未验收前，货物保管、安全均由供应商负责。</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4.提供的产品须为原装正品，相关的配套附件质量优良，数量齐全。并在标书中注明可选配件的价格，以及软件产品的升级、服务策略和价格。</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5.采购方使用该设备的任何一部分，当受第三方提出的侵犯其专利权、商标权或工业设计权的投诉时，一切后果由供应商负责。</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6.提供必要的软硬件系统的安装、使用、运维等的免费培训。</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7.</w:t>
      </w:r>
      <w:r>
        <w:rPr>
          <w:rFonts w:hint="eastAsia" w:cs="华文楷体" w:asciiTheme="minorEastAsia" w:hAnsiTheme="minorEastAsia" w:eastAsiaTheme="minorEastAsia"/>
          <w:b/>
          <w:bCs/>
          <w:sz w:val="24"/>
        </w:rPr>
        <w:t xml:space="preserve"> 本合同结算货币为人民币</w:t>
      </w:r>
      <w:r>
        <w:rPr>
          <w:rFonts w:hint="eastAsia" w:cs="华文楷体" w:asciiTheme="minorEastAsia" w:hAnsiTheme="minorEastAsia" w:eastAsiaTheme="minorEastAsia"/>
          <w:bCs/>
          <w:sz w:val="24"/>
        </w:rPr>
        <w:t>，</w:t>
      </w:r>
      <w:r>
        <w:rPr>
          <w:rFonts w:cs="华文楷体" w:asciiTheme="minorEastAsia" w:hAnsiTheme="minorEastAsia" w:eastAsiaTheme="minorEastAsia"/>
          <w:bCs/>
          <w:sz w:val="24"/>
        </w:rPr>
        <w:t>包括</w:t>
      </w:r>
      <w:r>
        <w:rPr>
          <w:rFonts w:hint="eastAsia" w:cs="华文楷体" w:asciiTheme="minorEastAsia" w:hAnsiTheme="minorEastAsia" w:eastAsiaTheme="minorEastAsia"/>
          <w:bCs/>
          <w:sz w:val="24"/>
        </w:rPr>
        <w:t>全部货物、辅助材料、专利技术、安装、调试、人工、机械、运输、仓储、保险、运费、劳保，各种税费、外贸代理费（美元：根据货值大小约加（0.05－0.2）/美元，具体可与学校相关外贸代理商联系。若非进口设备，供方必须提供增值税专用发票（含报销联和抵扣联）。</w:t>
      </w:r>
    </w:p>
    <w:p>
      <w:pPr>
        <w:spacing w:line="340" w:lineRule="exact"/>
        <w:ind w:firstLine="470" w:firstLineChars="196"/>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8. 对于进口设备外贸手续的办理：建议供方在校方提供的外贸公司中选择，由供方负责办理相关免税手续，需方配合供方完成办理免表必须的材料盖章事宜。</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9. 若按国家规定必须办理商检、法检或其他手续的进口设备，由供方负责办理相关手续及承担所需费用（由需方配合相应盖章事宜）。</w:t>
      </w:r>
    </w:p>
    <w:p>
      <w:pPr>
        <w:spacing w:line="340" w:lineRule="exact"/>
        <w:ind w:firstLine="480" w:firstLineChars="200"/>
        <w:rPr>
          <w:rFonts w:cs="华文楷体" w:asciiTheme="minorEastAsia" w:hAnsiTheme="minorEastAsia" w:eastAsiaTheme="minorEastAsia"/>
          <w:bCs/>
          <w:sz w:val="24"/>
        </w:rPr>
      </w:pPr>
      <w:r>
        <w:rPr>
          <w:rFonts w:hint="eastAsia" w:cs="华文楷体" w:asciiTheme="minorEastAsia" w:hAnsiTheme="minorEastAsia" w:eastAsiaTheme="minorEastAsia"/>
          <w:bCs/>
          <w:sz w:val="24"/>
        </w:rPr>
        <w:t>10. 供方配合用户完成验收相关工作，并持中标通知书、合同、发票、入库单等至设备供应科办理付款相关手续。</w:t>
      </w:r>
    </w:p>
    <w:p>
      <w:pPr>
        <w:spacing w:line="340" w:lineRule="exact"/>
        <w:ind w:firstLine="480" w:firstLineChars="200"/>
        <w:rPr>
          <w:rFonts w:cs="华文楷体" w:asciiTheme="minorEastAsia" w:hAnsiTheme="minorEastAsia" w:eastAsiaTheme="minorEastAsia"/>
          <w:bCs/>
          <w:sz w:val="24"/>
        </w:rPr>
      </w:pPr>
    </w:p>
    <w:p>
      <w:pPr>
        <w:spacing w:line="340" w:lineRule="exact"/>
        <w:ind w:firstLine="482" w:firstLineChars="200"/>
        <w:rPr>
          <w:rFonts w:cs="华文楷体" w:asciiTheme="minorEastAsia" w:hAnsiTheme="minorEastAsia" w:eastAsiaTheme="minorEastAsia"/>
          <w:b/>
          <w:bCs/>
          <w:sz w:val="24"/>
        </w:rPr>
      </w:pPr>
      <w:r>
        <w:rPr>
          <w:rFonts w:hint="eastAsia" w:cs="华文楷体" w:asciiTheme="minorEastAsia" w:hAnsiTheme="minorEastAsia" w:eastAsiaTheme="minorEastAsia"/>
          <w:b/>
          <w:color w:val="000000" w:themeColor="text1"/>
          <w:sz w:val="24"/>
        </w:rPr>
        <w:t>三、检验和验收</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1.出厂检验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制造单位的检验部门在设备制造过程中和完工后，应按采购文件中提出的标准和规定，对货物进行各项具体的检验和试验，并提出检验报告，对检验报告的准确性和完整性负责，以便发包方工程师进行监理。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2.现场验收</w:t>
      </w:r>
    </w:p>
    <w:p>
      <w:pPr>
        <w:spacing w:line="340" w:lineRule="exact"/>
        <w:ind w:firstLine="480" w:firstLineChars="200"/>
        <w:rPr>
          <w:rFonts w:hint="eastAsia"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货物到达现场卸车后，约定验收时间，由采购人组织相关人员及成交方代表在现场共同对货物的外观规格及数量等是否与合同规定一致，招标方可随机抽取产品进行第三方检测，如发现和投标文件不符，将取消投标人资格并要求承担全部损失。</w:t>
      </w:r>
    </w:p>
    <w:p>
      <w:pPr>
        <w:spacing w:line="340" w:lineRule="exact"/>
        <w:ind w:firstLine="480" w:firstLineChars="200"/>
        <w:rPr>
          <w:rFonts w:hint="eastAsia"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rPr>
      </w:pPr>
    </w:p>
    <w:p>
      <w:pPr>
        <w:spacing w:line="340" w:lineRule="exact"/>
        <w:ind w:firstLine="482" w:firstLineChars="200"/>
        <w:rPr>
          <w:rFonts w:cs="华文楷体" w:asciiTheme="minorEastAsia" w:hAnsiTheme="minorEastAsia" w:eastAsiaTheme="minorEastAsia"/>
          <w:b/>
          <w:bCs/>
          <w:color w:val="000000" w:themeColor="text1"/>
          <w:sz w:val="24"/>
        </w:rPr>
      </w:pPr>
      <w:r>
        <w:rPr>
          <w:rFonts w:hint="eastAsia" w:cs="华文楷体" w:asciiTheme="minorEastAsia" w:hAnsiTheme="minorEastAsia" w:eastAsiaTheme="minorEastAsia"/>
          <w:b/>
          <w:bCs/>
          <w:color w:val="000000" w:themeColor="text1"/>
          <w:sz w:val="24"/>
        </w:rPr>
        <w:t>四、责任</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验收过程中由于产品本身缺陷或质量问题导致最终验收无法通过，责任由供货方负担。</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质保期内如果因为产品质量问题导致安全事故，成交人承担全部责任。</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质保期内由于成交方质量问题由成交人负责免费更换，导致采购人的其他损失，由成交方承担一切责任。</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误期违约金：卖方应按照合同规定的时间交货和提供服务，除了合同条款规定的情况外，如果卖方没有按照合同规定的时间交货和提供服务，买方将从合同价款中扣除误期违约金，每延期一天扣罚合同价款的千分之一，违约金总额不超过合同款的20%。买方应按照合同规定的时间和金额支付设备款，除了合同条款规定的情况外，如果买方未按规定的时间和金额支付设备款，买方应向卖方支付误期违约金，每延期一天扣罚应付款项的万分之五，违约金总额不超过合同款的10%。（具体以合同约定为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合同的终止：如卖方无法履行合同规定的义务或者在合同实施过程中有谎报事实，损害买方利益的等欺诈行为，或者超过合同约定供货期限20日历日不能供货而影响采购人工程工期的；或买方违反合同约定，不履行给付义务。守约一方有权选择解除合同，违约一方应向守约一方支付合同价款30％的违约金。（具体以合同约定为准）</w:t>
      </w:r>
    </w:p>
    <w:p>
      <w:pPr>
        <w:widowControl/>
        <w:jc w:val="left"/>
        <w:rPr>
          <w:rFonts w:ascii="宋体" w:hAnsi="宋体" w:cs="华文楷体"/>
          <w:color w:val="000000"/>
          <w:kern w:val="0"/>
          <w:sz w:val="24"/>
        </w:rPr>
      </w:pPr>
      <w:r>
        <w:rPr>
          <w:rFonts w:ascii="宋体" w:hAnsi="宋体" w:cs="华文楷体"/>
          <w:color w:val="000000"/>
          <w:kern w:val="0"/>
          <w:sz w:val="24"/>
        </w:rPr>
        <w:br w:type="page"/>
      </w:r>
    </w:p>
    <w:p>
      <w:pPr>
        <w:spacing w:line="340" w:lineRule="exact"/>
        <w:jc w:val="center"/>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t>第三章    投标文件格式</w:t>
      </w:r>
    </w:p>
    <w:p>
      <w:pPr>
        <w:pStyle w:val="26"/>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一、投标人提交文件须知</w:t>
      </w:r>
    </w:p>
    <w:p>
      <w:pPr>
        <w:pStyle w:val="24"/>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1.混乱的编排以致投标文件被误读或采购人查找不到有效文件，后果由投标人承担。</w:t>
      </w:r>
    </w:p>
    <w:p>
      <w:pPr>
        <w:pStyle w:val="24"/>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2.所附表格中要求回答的全部问题和信息都必须正面回答。</w:t>
      </w:r>
    </w:p>
    <w:p>
      <w:pPr>
        <w:pStyle w:val="24"/>
        <w:numPr>
          <w:ilvl w:val="0"/>
          <w:numId w:val="0"/>
        </w:numPr>
        <w:spacing w:line="40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3.采购人将依据投标人提交的资料并根据自己的判断，决定投标人履行合同合格性及能力。投标人提交的材料将被保密保存，但不退还。</w:t>
      </w:r>
    </w:p>
    <w:p>
      <w:pPr>
        <w:pStyle w:val="24"/>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rPr>
      </w:pPr>
    </w:p>
    <w:p>
      <w:pPr>
        <w:pStyle w:val="26"/>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二、投标文件格式如下：</w:t>
      </w:r>
    </w:p>
    <w:p>
      <w:pPr>
        <w:pStyle w:val="26"/>
        <w:spacing w:before="0" w:line="400" w:lineRule="exact"/>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szCs w:val="24"/>
        </w:rPr>
        <w:t>(一)投标函</w:t>
      </w:r>
    </w:p>
    <w:p>
      <w:pPr>
        <w:pStyle w:val="29"/>
        <w:adjustRightInd/>
        <w:spacing w:line="340" w:lineRule="exact"/>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u w:val="single"/>
        </w:rPr>
        <w:t>江苏师范大学</w:t>
      </w:r>
      <w:r>
        <w:rPr>
          <w:rFonts w:hint="eastAsia" w:cs="华文楷体" w:asciiTheme="minorEastAsia" w:hAnsiTheme="minorEastAsia" w:eastAsiaTheme="minorEastAsia"/>
          <w:color w:val="000000" w:themeColor="text1"/>
          <w:kern w:val="2"/>
          <w:sz w:val="24"/>
          <w:szCs w:val="24"/>
        </w:rPr>
        <w:t>：</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ascii="宋体" w:hAnsi="宋体"/>
          <w:sz w:val="24"/>
          <w:u w:val="single"/>
        </w:rPr>
        <w:t xml:space="preserve">        投标人全称        </w:t>
      </w:r>
      <w:r>
        <w:rPr>
          <w:rFonts w:hint="eastAsia" w:cs="华文楷体" w:asciiTheme="minorEastAsia" w:hAnsiTheme="minorEastAsia" w:eastAsiaTheme="minorEastAsia"/>
          <w:color w:val="000000" w:themeColor="text1"/>
          <w:sz w:val="24"/>
        </w:rPr>
        <w:t>授权</w:t>
      </w:r>
      <w:r>
        <w:rPr>
          <w:rFonts w:hint="eastAsia" w:ascii="宋体" w:hAnsi="宋体"/>
          <w:sz w:val="24"/>
          <w:u w:val="single"/>
        </w:rPr>
        <w:t xml:space="preserve">     投标人代表姓名 (职务、职称)   </w:t>
      </w:r>
      <w:r>
        <w:rPr>
          <w:rFonts w:hint="eastAsia" w:cs="华文楷体" w:asciiTheme="minorEastAsia" w:hAnsiTheme="minorEastAsia" w:eastAsiaTheme="minorEastAsia"/>
          <w:color w:val="000000" w:themeColor="text1"/>
          <w:sz w:val="24"/>
        </w:rPr>
        <w:t>为我方代表，参加贵方组织的</w:t>
      </w:r>
      <w:r>
        <w:rPr>
          <w:rFonts w:hint="eastAsia" w:ascii="宋体" w:hAnsi="宋体"/>
          <w:sz w:val="24"/>
          <w:u w:val="single"/>
        </w:rPr>
        <w:t xml:space="preserve">     项目名称与项目编号     </w:t>
      </w:r>
      <w:r>
        <w:rPr>
          <w:rFonts w:hint="eastAsia" w:cs="华文楷体" w:asciiTheme="minorEastAsia" w:hAnsiTheme="minorEastAsia" w:eastAsiaTheme="minorEastAsia"/>
          <w:color w:val="000000" w:themeColor="text1"/>
          <w:sz w:val="24"/>
        </w:rPr>
        <w:t>招标的有关活动，并对此项目进行投标，投标总价为</w:t>
      </w:r>
      <w:r>
        <w:rPr>
          <w:rFonts w:hint="eastAsia" w:ascii="宋体" w:hAnsi="宋体"/>
          <w:sz w:val="24"/>
          <w:u w:val="single"/>
        </w:rPr>
        <w:t>（大写）         元（小写：       元）</w:t>
      </w:r>
      <w:r>
        <w:rPr>
          <w:rFonts w:hint="eastAsia" w:cs="华文楷体" w:asciiTheme="minorEastAsia" w:hAnsiTheme="minorEastAsia" w:eastAsiaTheme="minorEastAsia"/>
          <w:color w:val="000000" w:themeColor="text1"/>
          <w:sz w:val="24"/>
        </w:rPr>
        <w:t>，供货安装期为：天，质保期为：年。为此：</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1.我方同意在本项目采购文件中规定的投标日起</w:t>
      </w:r>
      <w:r>
        <w:rPr>
          <w:rFonts w:hint="eastAsia" w:cs="华文楷体" w:asciiTheme="minorEastAsia" w:hAnsiTheme="minorEastAsia" w:eastAsiaTheme="minorEastAsia"/>
          <w:color w:val="000000" w:themeColor="text1"/>
          <w:sz w:val="24"/>
          <w:szCs w:val="24"/>
          <w:u w:val="single"/>
        </w:rPr>
        <w:t>90日内</w:t>
      </w:r>
      <w:r>
        <w:rPr>
          <w:rFonts w:hint="eastAsia" w:cs="华文楷体" w:asciiTheme="minorEastAsia" w:hAnsiTheme="minorEastAsia" w:eastAsiaTheme="minorEastAsia"/>
          <w:color w:val="000000" w:themeColor="text1"/>
          <w:sz w:val="24"/>
          <w:szCs w:val="24"/>
        </w:rPr>
        <w:t>遵守本文中的承诺且在此期限期满之前均具有约束力。</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2.我方承诺已经具备《中华人民共和国政府采购法》中规定的参加政府采购活动的供应商应当具备及本项目规定的资格条件。</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3.提供投标须知规定的全部投标文件，包括投标文件</w:t>
      </w:r>
      <w:r>
        <w:rPr>
          <w:rFonts w:hint="eastAsia" w:cs="华文楷体" w:asciiTheme="minorEastAsia" w:hAnsiTheme="minorEastAsia" w:eastAsiaTheme="minorEastAsia"/>
          <w:b/>
          <w:color w:val="000000" w:themeColor="text1"/>
          <w:sz w:val="24"/>
          <w:szCs w:val="24"/>
        </w:rPr>
        <w:t>正本1份，副本</w:t>
      </w:r>
      <w:r>
        <w:rPr>
          <w:rFonts w:cs="华文楷体" w:asciiTheme="minorEastAsia" w:hAnsiTheme="minorEastAsia" w:eastAsiaTheme="minorEastAsia"/>
          <w:b/>
          <w:color w:val="000000" w:themeColor="text1"/>
          <w:sz w:val="24"/>
          <w:szCs w:val="24"/>
        </w:rPr>
        <w:t>5</w:t>
      </w:r>
      <w:r>
        <w:rPr>
          <w:rFonts w:hint="eastAsia" w:cs="华文楷体" w:asciiTheme="minorEastAsia" w:hAnsiTheme="minorEastAsia" w:eastAsiaTheme="minorEastAsia"/>
          <w:b/>
          <w:color w:val="000000" w:themeColor="text1"/>
          <w:sz w:val="24"/>
          <w:szCs w:val="24"/>
        </w:rPr>
        <w:t>份。</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4.按采购文件要求提供和交付的货物和服务的投标详见报价明细表及服务方案。</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5.保证忠实执行双方签订的合同，并承担合同规定的责任和义务。</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6.保证遵守采购文件的各项规定。</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7.如果在规定的投标有效期内撤回投标，我方同意将被列入不良记录名单。</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8.我方完全理解贵方不一定接受最低价的投标或收到的任何投标。</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9.我方愿意向贵方提供任何与本项投标有关的数据、情况和技术资料。如果贵方需要，我方愿意提供我方做出的一切承诺的证明材料。</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9.我方已详细审核全部投标文件，包括投标文件修改书（如果有的话）、参考资料及有关附件，确认无误。</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10.我方承诺：采购人如果需追加采购本项目采购文件所列货物及相关服务的，在不改变合同其他实质性条款的前提下，按相同或更优惠的折扣保证供货。</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11.我方承诺接受采购文件中《成交合同》的全部条款且无任何异议。</w:t>
      </w:r>
    </w:p>
    <w:p>
      <w:pPr>
        <w:pStyle w:val="24"/>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9"/>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提供虚假材料谋取成交的；</w:t>
      </w:r>
    </w:p>
    <w:p>
      <w:pPr>
        <w:numPr>
          <w:ilvl w:val="0"/>
          <w:numId w:val="9"/>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采取不正当手段诋毁、排挤其他供应商的；</w:t>
      </w:r>
    </w:p>
    <w:p>
      <w:pPr>
        <w:numPr>
          <w:ilvl w:val="0"/>
          <w:numId w:val="9"/>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与采购人、其它供应商或者采购人工作人员恶意串通的；</w:t>
      </w:r>
    </w:p>
    <w:p>
      <w:pPr>
        <w:numPr>
          <w:ilvl w:val="0"/>
          <w:numId w:val="9"/>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向采购人、采购人工作人员行贿或者提供其他不正当利益的；</w:t>
      </w:r>
    </w:p>
    <w:p>
      <w:pPr>
        <w:numPr>
          <w:ilvl w:val="0"/>
          <w:numId w:val="9"/>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未经采购人同意，在采购过程中与采购人进行协商招标的；</w:t>
      </w:r>
    </w:p>
    <w:p>
      <w:pPr>
        <w:numPr>
          <w:ilvl w:val="0"/>
          <w:numId w:val="9"/>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拒绝有关部门监督检查或提供虚假情况的；</w:t>
      </w:r>
    </w:p>
    <w:p>
      <w:pPr>
        <w:numPr>
          <w:ilvl w:val="0"/>
          <w:numId w:val="9"/>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地址：</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电话：_</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投标人代表姓名：</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投标人代表联系电话：</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投标人代表E-Mail：</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320" w:firstLineChars="18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bookmarkStart w:id="0" w:name="_Toc20988289"/>
      <w:bookmarkStart w:id="1" w:name="_Toc20816120"/>
      <w:bookmarkStart w:id="2" w:name="_Toc20642290"/>
      <w:bookmarkStart w:id="3" w:name="_Toc21001363"/>
      <w:bookmarkStart w:id="4" w:name="_Toc36287943"/>
      <w:bookmarkStart w:id="5" w:name="_Toc21000519"/>
    </w:p>
    <w:p>
      <w:pPr>
        <w:pStyle w:val="23"/>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3"/>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3"/>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3"/>
        <w:spacing w:before="0" w:after="0" w:line="340" w:lineRule="exact"/>
        <w:jc w:val="both"/>
        <w:outlineLvl w:val="9"/>
        <w:rPr>
          <w:rFonts w:cs="华文楷体" w:asciiTheme="majorEastAsia" w:hAnsiTheme="majorEastAsia" w:eastAsiaTheme="majorEastAsia"/>
          <w:color w:val="000000" w:themeColor="text1"/>
          <w:sz w:val="24"/>
          <w:szCs w:val="24"/>
        </w:rPr>
      </w:pPr>
      <w:r>
        <w:rPr>
          <w:rFonts w:hint="eastAsia" w:cs="华文楷体" w:asciiTheme="majorEastAsia" w:hAnsiTheme="majorEastAsia" w:eastAsiaTheme="majorEastAsia"/>
          <w:color w:val="000000" w:themeColor="text1"/>
          <w:sz w:val="24"/>
          <w:szCs w:val="24"/>
        </w:rPr>
        <w:t>(二)法定代表人授权委托书</w:t>
      </w:r>
      <w:bookmarkEnd w:id="0"/>
      <w:bookmarkEnd w:id="1"/>
      <w:bookmarkEnd w:id="2"/>
      <w:bookmarkEnd w:id="3"/>
      <w:bookmarkEnd w:id="4"/>
      <w:bookmarkEnd w:id="5"/>
    </w:p>
    <w:p>
      <w:pPr>
        <w:spacing w:line="340" w:lineRule="exact"/>
        <w:rPr>
          <w:rFonts w:asciiTheme="majorEastAsia" w:hAnsiTheme="majorEastAsia" w:eastAsiaTheme="majorEastAsia"/>
          <w:sz w:val="24"/>
        </w:rPr>
      </w:pPr>
      <w:r>
        <w:rPr>
          <w:rFonts w:hint="eastAsia" w:asciiTheme="majorEastAsia" w:hAnsiTheme="majorEastAsia" w:eastAsiaTheme="majorEastAsia"/>
          <w:sz w:val="24"/>
          <w:u w:val="single"/>
        </w:rPr>
        <w:t>江苏师范大学</w:t>
      </w:r>
      <w:r>
        <w:rPr>
          <w:rFonts w:hint="eastAsia" w:asciiTheme="majorEastAsia" w:hAnsiTheme="majorEastAsia" w:eastAsiaTheme="majorEastAsia"/>
          <w:sz w:val="24"/>
        </w:rPr>
        <w:t>：</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本授权书声明：注册于</w:t>
      </w:r>
      <w:r>
        <w:rPr>
          <w:rFonts w:hint="eastAsia" w:asciiTheme="majorEastAsia" w:hAnsiTheme="majorEastAsia" w:eastAsiaTheme="majorEastAsia"/>
          <w:sz w:val="24"/>
          <w:u w:val="single"/>
        </w:rPr>
        <w:t>（投标人住址）</w:t>
      </w:r>
      <w:r>
        <w:rPr>
          <w:rFonts w:hint="eastAsia" w:asciiTheme="majorEastAsia" w:hAnsiTheme="majorEastAsia" w:eastAsiaTheme="majorEastAsia"/>
          <w:sz w:val="24"/>
        </w:rPr>
        <w:t>的</w:t>
      </w:r>
      <w:r>
        <w:rPr>
          <w:rFonts w:hint="eastAsia" w:asciiTheme="majorEastAsia" w:hAnsiTheme="majorEastAsia" w:eastAsiaTheme="majorEastAsia"/>
          <w:sz w:val="24"/>
          <w:u w:val="single"/>
        </w:rPr>
        <w:t>（投标人名称）</w:t>
      </w:r>
      <w:r>
        <w:rPr>
          <w:rFonts w:hint="eastAsia" w:asciiTheme="majorEastAsia" w:hAnsiTheme="majorEastAsia" w:eastAsiaTheme="majorEastAsia"/>
          <w:sz w:val="24"/>
        </w:rPr>
        <w:t>法定代表人</w:t>
      </w:r>
      <w:r>
        <w:rPr>
          <w:rFonts w:hint="eastAsia" w:asciiTheme="majorEastAsia" w:hAnsiTheme="majorEastAsia" w:eastAsiaTheme="majorEastAsia"/>
          <w:sz w:val="24"/>
          <w:u w:val="single"/>
        </w:rPr>
        <w:t>（法定代表人姓名、职务）</w:t>
      </w:r>
      <w:r>
        <w:rPr>
          <w:rFonts w:hint="eastAsia" w:asciiTheme="majorEastAsia" w:hAnsiTheme="majorEastAsia" w:eastAsiaTheme="majorEastAsia"/>
          <w:sz w:val="24"/>
        </w:rPr>
        <w:t>代表本公司授权在下面签字的</w:t>
      </w:r>
      <w:r>
        <w:rPr>
          <w:rFonts w:hint="eastAsia" w:asciiTheme="majorEastAsia" w:hAnsiTheme="majorEastAsia" w:eastAsiaTheme="majorEastAsia"/>
          <w:sz w:val="24"/>
          <w:u w:val="single"/>
        </w:rPr>
        <w:t>（投标人代表姓名、职务）</w:t>
      </w:r>
      <w:r>
        <w:rPr>
          <w:rFonts w:hint="eastAsia" w:asciiTheme="majorEastAsia" w:hAnsiTheme="majorEastAsia" w:eastAsiaTheme="majorEastAsia"/>
          <w:sz w:val="24"/>
        </w:rPr>
        <w:t>为本公司的合法代理人，就贵方组织的项目</w:t>
      </w:r>
      <w:r>
        <w:rPr>
          <w:rFonts w:hint="eastAsia" w:asciiTheme="majorEastAsia" w:hAnsiTheme="majorEastAsia" w:eastAsiaTheme="majorEastAsia"/>
          <w:sz w:val="24"/>
          <w:u w:val="single"/>
        </w:rPr>
        <w:t>（项目名称）</w:t>
      </w:r>
      <w:r>
        <w:rPr>
          <w:rFonts w:hint="eastAsia" w:asciiTheme="majorEastAsia" w:hAnsiTheme="majorEastAsia" w:eastAsiaTheme="majorEastAsia"/>
          <w:sz w:val="24"/>
        </w:rPr>
        <w:t>（项目编号：），以本公司名义处理一切与之有关的事务。</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本授权书于    年  月  日签字生效，特此声明。</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法定代表人印刷体姓名、签字或盖章：</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投标人代表印刷体姓名、签字或盖章：</w:t>
      </w:r>
    </w:p>
    <w:p>
      <w:pPr>
        <w:spacing w:line="3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投标人全称、投标人公章：</w:t>
      </w:r>
      <w:r>
        <w:rPr>
          <w:rFonts w:hint="eastAsia" w:asciiTheme="majorEastAsia" w:hAnsiTheme="majorEastAsia" w:eastAsiaTheme="majorEastAsia"/>
          <w:sz w:val="24"/>
        </w:rPr>
        <w:tab/>
      </w:r>
      <w:r>
        <w:rPr>
          <w:rFonts w:hint="eastAsia" w:asciiTheme="majorEastAsia" w:hAnsiTheme="majorEastAsia" w:eastAsiaTheme="majorEastAsia"/>
          <w:sz w:val="24"/>
        </w:rPr>
        <w:tab/>
      </w:r>
    </w:p>
    <w:p>
      <w:pPr>
        <w:spacing w:line="380" w:lineRule="exact"/>
        <w:rPr>
          <w:rFonts w:asciiTheme="majorEastAsia" w:hAnsiTheme="majorEastAsia" w:eastAsiaTheme="majorEastAsia"/>
          <w:sz w:val="24"/>
        </w:rPr>
      </w:pPr>
      <w:r>
        <w:rPr>
          <w:rFonts w:hint="eastAsia" w:asciiTheme="majorEastAsia" w:hAnsiTheme="majorEastAsia" w:eastAsiaTheme="majorEastAsia"/>
          <w:sz w:val="24"/>
        </w:rPr>
        <w:t xml:space="preserve">    日期：</w:t>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 xml:space="preserve">    年    月    日</w:t>
      </w:r>
    </w:p>
    <w:p>
      <w:pPr>
        <w:spacing w:line="340" w:lineRule="exact"/>
        <w:rPr>
          <w:rFonts w:cs="华文楷体" w:asciiTheme="minorEastAsia" w:hAnsiTheme="minorEastAsia" w:eastAsiaTheme="minorEastAsia"/>
          <w:color w:val="000000" w:themeColor="text1"/>
        </w:rPr>
      </w:pPr>
      <w:r>
        <w:rPr>
          <w:rFonts w:cs="华文楷体" w:asciiTheme="minorEastAsia" w:hAnsiTheme="minorEastAsia" w:eastAsiaTheme="minorEastAsia"/>
          <w:color w:val="000000" w:themeColor="text1"/>
          <w:sz w:val="28"/>
          <w:szCs w:val="28"/>
        </w:rPr>
        <w:pict>
          <v:shape id="文本框 1" o:spid="_x0000_s2051" o:spt="202" type="#_x0000_t202" style="position:absolute;left:0pt;margin-left:35.85pt;margin-top:14.9pt;height:78pt;width:376.15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v:textbox>
            <w10:wrap type="square"/>
          </v:shape>
        </w:pict>
      </w:r>
      <w:bookmarkStart w:id="6" w:name="_Toc86202638"/>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color w:val="000000" w:themeColor="text1"/>
          <w:sz w:val="28"/>
          <w:szCs w:val="28"/>
        </w:rPr>
        <w:pict>
          <v:shape id="_x0000_s2050" o:spid="_x0000_s2050" o:spt="202" type="#_x0000_t202" style="position:absolute;left:0pt;margin-left:36.75pt;margin-top:24.75pt;height:78pt;width:376.15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v:textbox>
            <w10:wrap type="square"/>
          </v:shape>
        </w:pict>
      </w:r>
      <w:r>
        <w:rPr>
          <w:rFonts w:cs="华文楷体" w:asciiTheme="minorEastAsia" w:hAnsiTheme="minorEastAsia" w:eastAsiaTheme="minorEastAsia"/>
          <w:b/>
          <w:color w:val="000000" w:themeColor="text1"/>
          <w:sz w:val="24"/>
        </w:rPr>
        <w:br w:type="page"/>
      </w:r>
    </w:p>
    <w:p>
      <w:pPr>
        <w:spacing w:line="40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（三）投标报价一览表</w:t>
      </w:r>
    </w:p>
    <w:tbl>
      <w:tblPr>
        <w:tblStyle w:val="14"/>
        <w:tblW w:w="9645" w:type="dxa"/>
        <w:tblInd w:w="0" w:type="dxa"/>
        <w:tblLayout w:type="fixed"/>
        <w:tblCellMar>
          <w:top w:w="0" w:type="dxa"/>
          <w:left w:w="108" w:type="dxa"/>
          <w:bottom w:w="0" w:type="dxa"/>
          <w:right w:w="108" w:type="dxa"/>
        </w:tblCellMar>
      </w:tblPr>
      <w:tblGrid>
        <w:gridCol w:w="993"/>
        <w:gridCol w:w="1696"/>
        <w:gridCol w:w="3711"/>
        <w:gridCol w:w="3245"/>
      </w:tblGrid>
      <w:tr>
        <w:tblPrEx>
          <w:tblCellMar>
            <w:top w:w="0" w:type="dxa"/>
            <w:left w:w="108" w:type="dxa"/>
            <w:bottom w:w="0" w:type="dxa"/>
            <w:right w:w="108" w:type="dxa"/>
          </w:tblCellMar>
        </w:tblPrEx>
        <w:trPr>
          <w:trHeight w:val="455" w:hRule="atLeast"/>
        </w:trPr>
        <w:tc>
          <w:tcPr>
            <w:tcW w:w="993"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序号</w:t>
            </w:r>
          </w:p>
        </w:tc>
        <w:tc>
          <w:tcPr>
            <w:tcW w:w="5407" w:type="dxa"/>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cs="华文楷体" w:asciiTheme="minorEastAsia" w:hAnsiTheme="minorEastAsia" w:eastAsiaTheme="minorEastAsia"/>
                <w:b/>
                <w:color w:val="000000" w:themeColor="text1"/>
                <w:kern w:val="0"/>
                <w:szCs w:val="21"/>
              </w:rPr>
              <w:t>名称</w:t>
            </w:r>
          </w:p>
        </w:tc>
        <w:tc>
          <w:tcPr>
            <w:tcW w:w="3245"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总价（元）</w:t>
            </w:r>
          </w:p>
        </w:tc>
      </w:tr>
      <w:tr>
        <w:tblPrEx>
          <w:tblCellMar>
            <w:top w:w="0" w:type="dxa"/>
            <w:left w:w="108" w:type="dxa"/>
            <w:bottom w:w="0" w:type="dxa"/>
            <w:right w:w="108" w:type="dxa"/>
          </w:tblCellMar>
        </w:tblPrEx>
        <w:trPr>
          <w:trHeight w:val="687"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Cs w:val="21"/>
              </w:rPr>
            </w:pPr>
            <w:r>
              <w:rPr>
                <w:rFonts w:hint="eastAsia" w:cs="华文楷体" w:asciiTheme="minorEastAsia" w:hAnsiTheme="minorEastAsia" w:eastAsiaTheme="minorEastAsia"/>
                <w:color w:val="000000" w:themeColor="text1"/>
                <w:kern w:val="0"/>
                <w:szCs w:val="21"/>
              </w:rPr>
              <w:t>1</w:t>
            </w:r>
          </w:p>
        </w:tc>
        <w:tc>
          <w:tcPr>
            <w:tcW w:w="5407" w:type="dxa"/>
            <w:gridSpan w:val="2"/>
            <w:tcBorders>
              <w:top w:val="nil"/>
              <w:left w:val="nil"/>
              <w:bottom w:val="single" w:color="auto" w:sz="4" w:space="0"/>
              <w:right w:val="single" w:color="auto" w:sz="4" w:space="0"/>
            </w:tcBorders>
            <w:shd w:val="clear" w:color="auto" w:fill="auto"/>
            <w:vAlign w:val="center"/>
          </w:tcPr>
          <w:p>
            <w:pPr>
              <w:pStyle w:val="24"/>
              <w:numPr>
                <w:ilvl w:val="0"/>
                <w:numId w:val="0"/>
              </w:numPr>
              <w:tabs>
                <w:tab w:val="left" w:pos="0"/>
              </w:tabs>
              <w:spacing w:line="340" w:lineRule="exact"/>
              <w:ind w:firstLine="1446" w:firstLineChars="600"/>
              <w:jc w:val="both"/>
              <w:rPr>
                <w:rFonts w:hint="default" w:cs="华文楷体" w:asciiTheme="minorEastAsia" w:hAnsiTheme="minorEastAsia" w:eastAsiaTheme="minorEastAsia"/>
                <w:b/>
                <w:bCs/>
                <w:color w:val="000000" w:themeColor="text1"/>
                <w:sz w:val="24"/>
                <w:szCs w:val="24"/>
                <w:lang w:val="en-US" w:eastAsia="zh-CN"/>
              </w:rPr>
            </w:pPr>
            <w:r>
              <w:rPr>
                <w:rFonts w:hint="eastAsia" w:cs="华文楷体" w:asciiTheme="minorEastAsia" w:hAnsiTheme="minorEastAsia" w:eastAsiaTheme="minorEastAsia"/>
                <w:b/>
                <w:bCs/>
                <w:color w:val="000000" w:themeColor="text1"/>
                <w:sz w:val="24"/>
                <w:szCs w:val="24"/>
                <w:lang w:val="en-US" w:eastAsia="zh-CN"/>
              </w:rPr>
              <w:t>档案存储设备采购</w:t>
            </w:r>
          </w:p>
        </w:tc>
        <w:tc>
          <w:tcPr>
            <w:tcW w:w="324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Cs w:val="21"/>
              </w:rPr>
            </w:pPr>
          </w:p>
        </w:tc>
      </w:tr>
      <w:tr>
        <w:tblPrEx>
          <w:tblCellMar>
            <w:top w:w="0" w:type="dxa"/>
            <w:left w:w="108" w:type="dxa"/>
            <w:bottom w:w="0" w:type="dxa"/>
            <w:right w:w="108" w:type="dxa"/>
          </w:tblCellMar>
        </w:tblPrEx>
        <w:trPr>
          <w:trHeight w:val="830" w:hRule="atLeast"/>
        </w:trPr>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numPr>
                <w:ilvl w:val="0"/>
                <w:numId w:val="0"/>
              </w:numPr>
              <w:tabs>
                <w:tab w:val="left" w:pos="0"/>
              </w:tabs>
              <w:spacing w:line="340" w:lineRule="exact"/>
              <w:jc w:val="center"/>
              <w:rPr>
                <w:rFonts w:cs="华文楷体" w:asciiTheme="minorEastAsia" w:hAnsiTheme="minorEastAsia" w:eastAsiaTheme="minorEastAsia"/>
                <w:color w:val="000000" w:themeColor="text1"/>
                <w:kern w:val="2"/>
              </w:rPr>
            </w:pPr>
            <w:r>
              <w:rPr>
                <w:rFonts w:hint="eastAsia" w:cs="华文楷体" w:asciiTheme="minorEastAsia" w:hAnsiTheme="minorEastAsia" w:eastAsiaTheme="minorEastAsia"/>
                <w:b/>
                <w:bCs/>
                <w:color w:val="000000" w:themeColor="text1"/>
                <w:sz w:val="24"/>
                <w:szCs w:val="24"/>
              </w:rPr>
              <w:t>质保期（年）</w:t>
            </w:r>
          </w:p>
        </w:tc>
        <w:tc>
          <w:tcPr>
            <w:tcW w:w="6956" w:type="dxa"/>
            <w:gridSpan w:val="2"/>
            <w:tcBorders>
              <w:top w:val="single" w:color="auto" w:sz="4" w:space="0"/>
              <w:left w:val="nil"/>
              <w:bottom w:val="single" w:color="auto" w:sz="4" w:space="0"/>
              <w:right w:val="single" w:color="auto" w:sz="4" w:space="0"/>
            </w:tcBorders>
            <w:vAlign w:val="center"/>
          </w:tcPr>
          <w:p>
            <w:pPr>
              <w:widowControl/>
              <w:spacing w:line="400" w:lineRule="exact"/>
              <w:rPr>
                <w:rFonts w:cs="华文楷体" w:asciiTheme="minorEastAsia" w:hAnsiTheme="minorEastAsia" w:eastAsiaTheme="minorEastAsia"/>
                <w:b/>
                <w:color w:val="000000" w:themeColor="text1"/>
                <w:kern w:val="0"/>
                <w:szCs w:val="21"/>
              </w:rPr>
            </w:pPr>
          </w:p>
        </w:tc>
      </w:tr>
      <w:tr>
        <w:tblPrEx>
          <w:tblCellMar>
            <w:top w:w="0" w:type="dxa"/>
            <w:left w:w="108" w:type="dxa"/>
            <w:bottom w:w="0" w:type="dxa"/>
            <w:right w:w="108" w:type="dxa"/>
          </w:tblCellMar>
        </w:tblPrEx>
        <w:trPr>
          <w:trHeight w:val="830" w:hRule="atLeast"/>
        </w:trPr>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numPr>
                <w:ilvl w:val="0"/>
                <w:numId w:val="0"/>
              </w:numPr>
              <w:tabs>
                <w:tab w:val="left" w:pos="0"/>
              </w:tabs>
              <w:spacing w:line="340" w:lineRule="exact"/>
              <w:jc w:val="center"/>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供货期（天）</w:t>
            </w:r>
          </w:p>
        </w:tc>
        <w:tc>
          <w:tcPr>
            <w:tcW w:w="6956" w:type="dxa"/>
            <w:gridSpan w:val="2"/>
            <w:tcBorders>
              <w:top w:val="single" w:color="auto" w:sz="4" w:space="0"/>
              <w:left w:val="nil"/>
              <w:bottom w:val="single" w:color="auto" w:sz="4" w:space="0"/>
              <w:right w:val="single" w:color="auto" w:sz="4" w:space="0"/>
            </w:tcBorders>
            <w:vAlign w:val="center"/>
          </w:tcPr>
          <w:p>
            <w:pPr>
              <w:widowControl/>
              <w:spacing w:line="400" w:lineRule="exact"/>
              <w:rPr>
                <w:rFonts w:cs="华文楷体" w:asciiTheme="minorEastAsia" w:hAnsiTheme="minorEastAsia" w:eastAsiaTheme="minorEastAsia"/>
                <w:b/>
                <w:color w:val="000000" w:themeColor="text1"/>
                <w:kern w:val="0"/>
                <w:szCs w:val="21"/>
              </w:rPr>
            </w:pPr>
          </w:p>
        </w:tc>
      </w:tr>
      <w:tr>
        <w:tblPrEx>
          <w:tblCellMar>
            <w:top w:w="0" w:type="dxa"/>
            <w:left w:w="108" w:type="dxa"/>
            <w:bottom w:w="0" w:type="dxa"/>
            <w:right w:w="108" w:type="dxa"/>
          </w:tblCellMar>
        </w:tblPrEx>
        <w:trPr>
          <w:trHeight w:val="830" w:hRule="atLeast"/>
        </w:trPr>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numPr>
                <w:ilvl w:val="0"/>
                <w:numId w:val="0"/>
              </w:numPr>
              <w:tabs>
                <w:tab w:val="left" w:pos="0"/>
              </w:tabs>
              <w:spacing w:line="340" w:lineRule="exact"/>
              <w:jc w:val="center"/>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合计（人民币）</w:t>
            </w:r>
          </w:p>
        </w:tc>
        <w:tc>
          <w:tcPr>
            <w:tcW w:w="6956" w:type="dxa"/>
            <w:gridSpan w:val="2"/>
            <w:tcBorders>
              <w:top w:val="single" w:color="auto" w:sz="4" w:space="0"/>
              <w:left w:val="nil"/>
              <w:bottom w:val="single" w:color="auto" w:sz="4" w:space="0"/>
              <w:right w:val="single" w:color="auto" w:sz="4" w:space="0"/>
            </w:tcBorders>
            <w:vAlign w:val="center"/>
          </w:tcPr>
          <w:p>
            <w:pPr>
              <w:widowControl/>
              <w:spacing w:line="400" w:lineRule="exact"/>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小写：           （大写：                           ）</w:t>
            </w:r>
          </w:p>
        </w:tc>
      </w:tr>
    </w:tbl>
    <w:p>
      <w:pPr>
        <w:spacing w:line="340" w:lineRule="exact"/>
        <w:rPr>
          <w:rFonts w:cs="华文楷体" w:asciiTheme="minorEastAsia" w:hAnsiTheme="minorEastAsia" w:eastAsiaTheme="minorEastAsia"/>
          <w:b/>
          <w:color w:val="000000" w:themeColor="text1"/>
          <w:sz w:val="24"/>
        </w:rPr>
      </w:pPr>
    </w:p>
    <w:p>
      <w:pPr>
        <w:spacing w:line="34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注：投标报价包含了设备运输、装卸、安装、调试、配合费、保质期内的服务、利润、税金和承担的风险等一切可能产生的费用。</w:t>
      </w:r>
    </w:p>
    <w:p>
      <w:pPr>
        <w:spacing w:line="340" w:lineRule="exact"/>
        <w:ind w:firstLine="480" w:firstLineChars="2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ind w:firstLine="723" w:firstLineChars="300"/>
        <w:rPr>
          <w:rFonts w:hint="eastAsia" w:cs="华文楷体" w:asciiTheme="minorEastAsia" w:hAnsiTheme="minorEastAsia" w:eastAsiaTheme="minorEastAsia"/>
          <w:b/>
          <w:color w:val="000000" w:themeColor="text1"/>
          <w:sz w:val="24"/>
        </w:rPr>
      </w:pPr>
    </w:p>
    <w:p>
      <w:pPr>
        <w:spacing w:line="400" w:lineRule="exact"/>
        <w:rPr>
          <w:rFonts w:hint="eastAsia"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（四）投标报价明细表</w:t>
      </w:r>
    </w:p>
    <w:tbl>
      <w:tblPr>
        <w:tblStyle w:val="14"/>
        <w:tblW w:w="4994" w:type="pct"/>
        <w:tblInd w:w="0" w:type="dxa"/>
        <w:tblLayout w:type="autofit"/>
        <w:tblCellMar>
          <w:top w:w="0" w:type="dxa"/>
          <w:left w:w="108" w:type="dxa"/>
          <w:bottom w:w="0" w:type="dxa"/>
          <w:right w:w="108" w:type="dxa"/>
        </w:tblCellMar>
      </w:tblPr>
      <w:tblGrid>
        <w:gridCol w:w="576"/>
        <w:gridCol w:w="552"/>
        <w:gridCol w:w="343"/>
        <w:gridCol w:w="734"/>
        <w:gridCol w:w="856"/>
        <w:gridCol w:w="1366"/>
        <w:gridCol w:w="1307"/>
        <w:gridCol w:w="823"/>
        <w:gridCol w:w="758"/>
        <w:gridCol w:w="958"/>
        <w:gridCol w:w="1252"/>
      </w:tblGrid>
      <w:tr>
        <w:tblPrEx>
          <w:tblCellMar>
            <w:top w:w="0" w:type="dxa"/>
            <w:left w:w="108" w:type="dxa"/>
            <w:bottom w:w="0" w:type="dxa"/>
            <w:right w:w="108" w:type="dxa"/>
          </w:tblCellMar>
        </w:tblPrEx>
        <w:trPr>
          <w:trHeight w:val="455" w:hRule="atLeast"/>
        </w:trPr>
        <w:tc>
          <w:tcPr>
            <w:tcW w:w="302"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序号</w:t>
            </w:r>
          </w:p>
        </w:tc>
        <w:tc>
          <w:tcPr>
            <w:tcW w:w="470" w:type="pct"/>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lang w:val="en-US" w:eastAsia="zh-CN"/>
              </w:rPr>
              <w:t>设备</w:t>
            </w:r>
            <w:r>
              <w:rPr>
                <w:rFonts w:hint="eastAsia" w:cs="华文楷体" w:asciiTheme="minorEastAsia" w:hAnsiTheme="minorEastAsia" w:eastAsiaTheme="minorEastAsia"/>
                <w:b/>
                <w:color w:val="000000" w:themeColor="text1"/>
                <w:kern w:val="0"/>
                <w:sz w:val="24"/>
              </w:rPr>
              <w:t>名称</w:t>
            </w:r>
          </w:p>
        </w:tc>
        <w:tc>
          <w:tcPr>
            <w:tcW w:w="385"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hint="default" w:cs="华文楷体" w:asciiTheme="minorEastAsia" w:hAnsiTheme="minorEastAsia" w:eastAsiaTheme="minorEastAsia"/>
                <w:b/>
                <w:color w:val="000000" w:themeColor="text1"/>
                <w:kern w:val="0"/>
                <w:sz w:val="24"/>
                <w:lang w:val="en-US" w:eastAsia="zh-CN"/>
              </w:rPr>
            </w:pPr>
            <w:r>
              <w:rPr>
                <w:rFonts w:hint="eastAsia" w:cs="华文楷体" w:asciiTheme="minorEastAsia" w:hAnsiTheme="minorEastAsia" w:eastAsiaTheme="minorEastAsia"/>
                <w:b/>
                <w:color w:val="000000" w:themeColor="text1"/>
                <w:kern w:val="0"/>
                <w:sz w:val="24"/>
                <w:lang w:val="en-US" w:eastAsia="zh-CN"/>
              </w:rPr>
              <w:t>品牌</w:t>
            </w:r>
          </w:p>
        </w:tc>
        <w:tc>
          <w:tcPr>
            <w:tcW w:w="449"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hint="eastAsia" w:cs="华文楷体" w:asciiTheme="minorEastAsia" w:hAnsiTheme="minorEastAsia" w:eastAsiaTheme="minorEastAsia"/>
                <w:b/>
                <w:color w:val="000000" w:themeColor="text1"/>
                <w:kern w:val="0"/>
                <w:sz w:val="24"/>
                <w:lang w:val="en-US" w:eastAsia="zh-CN"/>
              </w:rPr>
            </w:pPr>
            <w:r>
              <w:rPr>
                <w:rFonts w:hint="eastAsia" w:cs="华文楷体" w:asciiTheme="minorEastAsia" w:hAnsiTheme="minorEastAsia" w:eastAsiaTheme="minorEastAsia"/>
                <w:b/>
                <w:color w:val="000000" w:themeColor="text1"/>
                <w:kern w:val="0"/>
                <w:sz w:val="24"/>
                <w:lang w:val="en-US" w:eastAsia="zh-CN"/>
              </w:rPr>
              <w:t>主材</w:t>
            </w:r>
          </w:p>
        </w:tc>
        <w:tc>
          <w:tcPr>
            <w:tcW w:w="717"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hint="default" w:cs="华文楷体" w:asciiTheme="minorEastAsia" w:hAnsiTheme="minorEastAsia" w:eastAsiaTheme="minorEastAsia"/>
                <w:b/>
                <w:color w:val="000000" w:themeColor="text1"/>
                <w:kern w:val="0"/>
                <w:sz w:val="24"/>
                <w:lang w:val="en-US" w:eastAsia="zh-CN"/>
              </w:rPr>
            </w:pPr>
            <w:r>
              <w:rPr>
                <w:rFonts w:hint="eastAsia" w:cs="华文楷体" w:asciiTheme="minorEastAsia" w:hAnsiTheme="minorEastAsia" w:eastAsiaTheme="minorEastAsia"/>
                <w:b/>
                <w:color w:val="000000" w:themeColor="text1"/>
                <w:kern w:val="0"/>
                <w:sz w:val="24"/>
                <w:lang w:val="en-US" w:eastAsia="zh-CN"/>
              </w:rPr>
              <w:t>规格型号</w:t>
            </w:r>
          </w:p>
        </w:tc>
        <w:tc>
          <w:tcPr>
            <w:tcW w:w="686"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hint="eastAsia" w:cs="华文楷体" w:asciiTheme="minorEastAsia" w:hAnsiTheme="minorEastAsia" w:eastAsiaTheme="minorEastAsia"/>
                <w:b/>
                <w:color w:val="000000" w:themeColor="text1"/>
                <w:kern w:val="0"/>
                <w:sz w:val="24"/>
                <w:lang w:val="en-US" w:eastAsia="zh-CN"/>
              </w:rPr>
            </w:pPr>
            <w:r>
              <w:rPr>
                <w:rFonts w:hint="eastAsia" w:cs="华文楷体" w:asciiTheme="minorEastAsia" w:hAnsiTheme="minorEastAsia" w:eastAsiaTheme="minorEastAsia"/>
                <w:b/>
                <w:color w:val="000000" w:themeColor="text1"/>
                <w:kern w:val="0"/>
                <w:sz w:val="24"/>
                <w:lang w:val="en-US" w:eastAsia="zh-CN"/>
              </w:rPr>
              <w:t>执行标准</w:t>
            </w:r>
          </w:p>
        </w:tc>
        <w:tc>
          <w:tcPr>
            <w:tcW w:w="432"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数量</w:t>
            </w:r>
          </w:p>
        </w:tc>
        <w:tc>
          <w:tcPr>
            <w:tcW w:w="398"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单位</w:t>
            </w:r>
          </w:p>
        </w:tc>
        <w:tc>
          <w:tcPr>
            <w:tcW w:w="503"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单价（元）</w:t>
            </w:r>
          </w:p>
        </w:tc>
        <w:tc>
          <w:tcPr>
            <w:tcW w:w="655"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总价（元）</w:t>
            </w:r>
          </w:p>
        </w:tc>
      </w:tr>
      <w:tr>
        <w:tblPrEx>
          <w:tblCellMar>
            <w:top w:w="0" w:type="dxa"/>
            <w:left w:w="108" w:type="dxa"/>
            <w:bottom w:w="0" w:type="dxa"/>
            <w:right w:w="108" w:type="dxa"/>
          </w:tblCellMar>
        </w:tblPrEx>
        <w:trPr>
          <w:trHeight w:val="90" w:hRule="atLeast"/>
        </w:trPr>
        <w:tc>
          <w:tcPr>
            <w:tcW w:w="30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r>
              <w:rPr>
                <w:rFonts w:hint="eastAsia" w:cs="华文楷体" w:asciiTheme="minorEastAsia" w:hAnsiTheme="minorEastAsia" w:eastAsiaTheme="minorEastAsia"/>
                <w:color w:val="000000" w:themeColor="text1"/>
                <w:kern w:val="0"/>
                <w:sz w:val="24"/>
              </w:rPr>
              <w:t>1</w:t>
            </w:r>
          </w:p>
        </w:tc>
        <w:tc>
          <w:tcPr>
            <w:tcW w:w="470"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385"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49"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717"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686"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432"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398"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503"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655"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0" w:hRule="atLeast"/>
        </w:trPr>
        <w:tc>
          <w:tcPr>
            <w:tcW w:w="30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r>
              <w:rPr>
                <w:rFonts w:hint="eastAsia" w:cs="华文楷体" w:asciiTheme="minorEastAsia" w:hAnsiTheme="minorEastAsia" w:eastAsiaTheme="minorEastAsia"/>
                <w:color w:val="000000" w:themeColor="text1"/>
                <w:kern w:val="0"/>
                <w:sz w:val="24"/>
              </w:rPr>
              <w:t>2</w:t>
            </w:r>
          </w:p>
        </w:tc>
        <w:tc>
          <w:tcPr>
            <w:tcW w:w="470"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385"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49"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717"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686"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432"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398"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503"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655"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0" w:hRule="atLeast"/>
        </w:trPr>
        <w:tc>
          <w:tcPr>
            <w:tcW w:w="30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r>
              <w:rPr>
                <w:rFonts w:hint="eastAsia" w:cs="华文楷体" w:asciiTheme="minorEastAsia" w:hAnsiTheme="minorEastAsia" w:eastAsiaTheme="minorEastAsia"/>
                <w:color w:val="000000" w:themeColor="text1"/>
                <w:kern w:val="0"/>
                <w:sz w:val="24"/>
              </w:rPr>
              <w:t>3</w:t>
            </w:r>
          </w:p>
        </w:tc>
        <w:tc>
          <w:tcPr>
            <w:tcW w:w="470"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385"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49"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717"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686"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432"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398"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503"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655"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0" w:hRule="atLeast"/>
        </w:trPr>
        <w:tc>
          <w:tcPr>
            <w:tcW w:w="30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r>
              <w:rPr>
                <w:rFonts w:hint="eastAsia" w:cs="华文楷体" w:asciiTheme="minorEastAsia" w:hAnsiTheme="minorEastAsia" w:eastAsiaTheme="minorEastAsia"/>
                <w:color w:val="000000" w:themeColor="text1"/>
                <w:kern w:val="0"/>
                <w:sz w:val="24"/>
              </w:rPr>
              <w:t>...</w:t>
            </w:r>
          </w:p>
        </w:tc>
        <w:tc>
          <w:tcPr>
            <w:tcW w:w="470"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385"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449"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717"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686"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432" w:type="pct"/>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398"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503"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655"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41" w:hRule="atLeast"/>
        </w:trPr>
        <w:tc>
          <w:tcPr>
            <w:tcW w:w="592" w:type="pct"/>
            <w:gridSpan w:val="2"/>
            <w:tcBorders>
              <w:top w:val="nil"/>
              <w:left w:val="single" w:color="auto" w:sz="4" w:space="0"/>
              <w:bottom w:val="single" w:color="auto" w:sz="4" w:space="0"/>
              <w:right w:val="single" w:color="auto" w:sz="4" w:space="0"/>
            </w:tcBorders>
            <w:shd w:val="clear" w:color="auto" w:fill="auto"/>
            <w:vAlign w:val="center"/>
          </w:tcPr>
          <w:p>
            <w:pPr>
              <w:pStyle w:val="24"/>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质保期（年）</w:t>
            </w:r>
          </w:p>
        </w:tc>
        <w:tc>
          <w:tcPr>
            <w:tcW w:w="4407" w:type="pct"/>
            <w:gridSpan w:val="9"/>
            <w:tcBorders>
              <w:top w:val="nil"/>
              <w:left w:val="single" w:color="auto" w:sz="4" w:space="0"/>
              <w:bottom w:val="single" w:color="auto" w:sz="4" w:space="0"/>
              <w:right w:val="single" w:color="auto" w:sz="4" w:space="0"/>
            </w:tcBorders>
          </w:tcPr>
          <w:p>
            <w:pPr>
              <w:pStyle w:val="24"/>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941" w:hRule="atLeast"/>
        </w:trPr>
        <w:tc>
          <w:tcPr>
            <w:tcW w:w="592" w:type="pct"/>
            <w:gridSpan w:val="2"/>
            <w:tcBorders>
              <w:top w:val="nil"/>
              <w:left w:val="single" w:color="auto" w:sz="4" w:space="0"/>
              <w:bottom w:val="single" w:color="auto" w:sz="4" w:space="0"/>
              <w:right w:val="single" w:color="auto" w:sz="4" w:space="0"/>
            </w:tcBorders>
            <w:shd w:val="clear" w:color="auto" w:fill="auto"/>
            <w:vAlign w:val="center"/>
          </w:tcPr>
          <w:p>
            <w:pPr>
              <w:pStyle w:val="24"/>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供货期（天）</w:t>
            </w:r>
          </w:p>
        </w:tc>
        <w:tc>
          <w:tcPr>
            <w:tcW w:w="4407" w:type="pct"/>
            <w:gridSpan w:val="9"/>
            <w:tcBorders>
              <w:top w:val="nil"/>
              <w:left w:val="single" w:color="auto" w:sz="4" w:space="0"/>
              <w:bottom w:val="single" w:color="auto" w:sz="4" w:space="0"/>
              <w:right w:val="single" w:color="auto" w:sz="4" w:space="0"/>
            </w:tcBorders>
          </w:tcPr>
          <w:p>
            <w:pPr>
              <w:pStyle w:val="24"/>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848" w:hRule="atLeast"/>
        </w:trPr>
        <w:tc>
          <w:tcPr>
            <w:tcW w:w="5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numPr>
                <w:ilvl w:val="0"/>
                <w:numId w:val="0"/>
              </w:numPr>
              <w:tabs>
                <w:tab w:val="left" w:pos="0"/>
              </w:tabs>
              <w:spacing w:line="340" w:lineRule="exact"/>
              <w:jc w:val="center"/>
              <w:rPr>
                <w:rFonts w:cs="华文楷体" w:asciiTheme="minorEastAsia" w:hAnsiTheme="minorEastAsia" w:eastAsiaTheme="minorEastAsia"/>
                <w:color w:val="000000" w:themeColor="text1"/>
                <w:kern w:val="2"/>
              </w:rPr>
            </w:pPr>
            <w:r>
              <w:rPr>
                <w:rFonts w:hint="eastAsia" w:cs="华文楷体" w:asciiTheme="minorEastAsia" w:hAnsiTheme="minorEastAsia" w:eastAsiaTheme="minorEastAsia"/>
                <w:b/>
                <w:bCs/>
                <w:color w:val="000000" w:themeColor="text1"/>
                <w:sz w:val="24"/>
                <w:szCs w:val="24"/>
              </w:rPr>
              <w:t>合计（人民币）</w:t>
            </w:r>
          </w:p>
        </w:tc>
        <w:tc>
          <w:tcPr>
            <w:tcW w:w="4407" w:type="pct"/>
            <w:gridSpan w:val="9"/>
            <w:tcBorders>
              <w:top w:val="single" w:color="auto" w:sz="4" w:space="0"/>
              <w:left w:val="nil"/>
              <w:bottom w:val="single" w:color="auto" w:sz="4" w:space="0"/>
              <w:right w:val="single" w:color="auto" w:sz="4" w:space="0"/>
            </w:tcBorders>
            <w:vAlign w:val="center"/>
          </w:tcPr>
          <w:p>
            <w:pPr>
              <w:widowControl/>
              <w:spacing w:line="400" w:lineRule="exact"/>
              <w:jc w:val="both"/>
              <w:rPr>
                <w:rFonts w:hint="eastAsia"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 xml:space="preserve">小写：                </w:t>
            </w:r>
            <w:r>
              <w:rPr>
                <w:rFonts w:hint="eastAsia" w:cs="华文楷体" w:asciiTheme="minorEastAsia" w:hAnsiTheme="minorEastAsia" w:eastAsiaTheme="minorEastAsia"/>
                <w:b/>
                <w:color w:val="000000" w:themeColor="text1"/>
                <w:kern w:val="0"/>
                <w:sz w:val="24"/>
                <w:lang w:val="en-US" w:eastAsia="zh-CN"/>
              </w:rPr>
              <w:t xml:space="preserve">  </w:t>
            </w:r>
            <w:r>
              <w:rPr>
                <w:rFonts w:hint="eastAsia" w:cs="华文楷体" w:asciiTheme="minorEastAsia" w:hAnsiTheme="minorEastAsia" w:eastAsiaTheme="minorEastAsia"/>
                <w:b/>
                <w:color w:val="000000" w:themeColor="text1"/>
                <w:kern w:val="0"/>
                <w:sz w:val="24"/>
              </w:rPr>
              <w:t xml:space="preserve">（大写： </w:t>
            </w:r>
            <w:r>
              <w:rPr>
                <w:rFonts w:hint="eastAsia" w:cs="华文楷体" w:asciiTheme="minorEastAsia" w:hAnsiTheme="minorEastAsia" w:eastAsiaTheme="minorEastAsia"/>
                <w:b/>
                <w:color w:val="000000" w:themeColor="text1"/>
                <w:kern w:val="0"/>
                <w:sz w:val="24"/>
                <w:lang w:val="en-US" w:eastAsia="zh-CN"/>
              </w:rPr>
              <w:t xml:space="preserve">   </w:t>
            </w:r>
            <w:r>
              <w:rPr>
                <w:rFonts w:hint="eastAsia" w:cs="华文楷体" w:asciiTheme="minorEastAsia" w:hAnsiTheme="minorEastAsia" w:eastAsiaTheme="minorEastAsia"/>
                <w:b/>
                <w:color w:val="000000" w:themeColor="text1"/>
                <w:kern w:val="0"/>
                <w:sz w:val="24"/>
              </w:rPr>
              <w:t xml:space="preserve">            ）</w:t>
            </w:r>
          </w:p>
        </w:tc>
      </w:tr>
    </w:tbl>
    <w:p>
      <w:pPr>
        <w:spacing w:line="340" w:lineRule="exact"/>
        <w:rPr>
          <w:rFonts w:hint="eastAsia" w:cs="华文楷体" w:asciiTheme="minorEastAsia" w:hAnsiTheme="minorEastAsia" w:eastAsiaTheme="minorEastAsia"/>
          <w:color w:val="000000" w:themeColor="text1"/>
          <w:sz w:val="24"/>
        </w:rPr>
      </w:pPr>
    </w:p>
    <w:p>
      <w:pPr>
        <w:spacing w:line="340" w:lineRule="exact"/>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p>
    <w:p>
      <w:pPr>
        <w:spacing w:line="400" w:lineRule="exact"/>
        <w:rPr>
          <w:rFonts w:hint="eastAsia" w:cs="华文楷体" w:asciiTheme="minorEastAsia" w:hAnsiTheme="minorEastAsia" w:eastAsiaTheme="minorEastAsia"/>
          <w:b/>
          <w:color w:val="000000" w:themeColor="text1"/>
          <w:sz w:val="24"/>
        </w:rPr>
      </w:pPr>
    </w:p>
    <w:p>
      <w:pPr>
        <w:spacing w:line="400" w:lineRule="exact"/>
        <w:rPr>
          <w:rFonts w:hint="eastAsia" w:cs="华文楷体" w:asciiTheme="minorEastAsia" w:hAnsiTheme="minorEastAsia" w:eastAsiaTheme="minorEastAsia"/>
          <w:b/>
          <w:color w:val="000000" w:themeColor="text1"/>
          <w:sz w:val="24"/>
        </w:rPr>
      </w:pPr>
    </w:p>
    <w:p>
      <w:pPr>
        <w:spacing w:line="400" w:lineRule="exact"/>
        <w:rPr>
          <w:rFonts w:hint="eastAsia" w:cs="华文楷体" w:asciiTheme="minorEastAsia" w:hAnsiTheme="minorEastAsia" w:eastAsiaTheme="minorEastAsia"/>
          <w:b/>
          <w:color w:val="000000" w:themeColor="text1"/>
          <w:sz w:val="24"/>
        </w:rPr>
      </w:pPr>
    </w:p>
    <w:p>
      <w:pPr>
        <w:spacing w:line="400" w:lineRule="exact"/>
        <w:rPr>
          <w:rFonts w:cs="华文楷体" w:asciiTheme="minorEastAsia" w:hAnsiTheme="minorEastAsia" w:eastAsiaTheme="minorEastAsia"/>
          <w:b/>
          <w:color w:val="000000" w:themeColor="text1"/>
          <w:sz w:val="24"/>
        </w:rPr>
      </w:pPr>
    </w:p>
    <w:p>
      <w:pPr>
        <w:pStyle w:val="13"/>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（五）投标人主要业绩一览表（</w:t>
      </w:r>
      <w:bookmarkStart w:id="7" w:name="_Hlk97887590"/>
      <w:r>
        <w:rPr>
          <w:rFonts w:hint="eastAsia" w:asciiTheme="minorEastAsia" w:hAnsiTheme="minorEastAsia" w:eastAsiaTheme="minorEastAsia"/>
          <w:b/>
          <w:sz w:val="24"/>
          <w:szCs w:val="24"/>
        </w:rPr>
        <w:t>2020年1月1日以来类似业绩</w:t>
      </w:r>
      <w:bookmarkEnd w:id="7"/>
      <w:r>
        <w:rPr>
          <w:rFonts w:hint="eastAsia" w:asciiTheme="minorEastAsia" w:hAnsiTheme="minorEastAsia" w:eastAsiaTheme="minorEastAsia"/>
          <w:b/>
          <w:sz w:val="24"/>
          <w:szCs w:val="24"/>
        </w:rPr>
        <w:t>）</w:t>
      </w:r>
    </w:p>
    <w:p>
      <w:pPr>
        <w:pStyle w:val="13"/>
        <w:spacing w:after="0" w:line="4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w:t>
      </w:r>
    </w:p>
    <w:tbl>
      <w:tblPr>
        <w:tblStyle w:val="14"/>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70"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6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3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合同金额</w:t>
            </w:r>
          </w:p>
        </w:tc>
        <w:tc>
          <w:tcPr>
            <w:tcW w:w="2099" w:type="dxa"/>
          </w:tcPr>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27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bl>
    <w:p>
      <w:pPr>
        <w:pStyle w:val="13"/>
        <w:spacing w:after="0" w:line="40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注：应提供类似合同复印件加盖单位公章</w:t>
      </w:r>
    </w:p>
    <w:p>
      <w:pPr>
        <w:pStyle w:val="13"/>
        <w:spacing w:after="0" w:line="400" w:lineRule="exact"/>
        <w:ind w:firstLine="480" w:firstLineChars="200"/>
        <w:rPr>
          <w:rFonts w:hint="eastAsia" w:asciiTheme="minorEastAsia" w:hAnsiTheme="minorEastAsia" w:eastAsiaTheme="minorEastAsia"/>
          <w:sz w:val="24"/>
          <w:szCs w:val="24"/>
        </w:rPr>
      </w:pPr>
    </w:p>
    <w:p>
      <w:pPr>
        <w:pStyle w:val="13"/>
        <w:spacing w:after="0" w:line="400" w:lineRule="exact"/>
        <w:ind w:firstLine="480" w:firstLineChars="200"/>
        <w:rPr>
          <w:rFonts w:hint="eastAsia" w:asciiTheme="minorEastAsia" w:hAnsiTheme="minorEastAsia" w:eastAsiaTheme="minorEastAsia"/>
          <w:sz w:val="24"/>
          <w:szCs w:val="24"/>
        </w:rPr>
      </w:pPr>
    </w:p>
    <w:p>
      <w:pPr>
        <w:pStyle w:val="13"/>
        <w:spacing w:after="0" w:line="400" w:lineRule="exact"/>
        <w:ind w:firstLine="480" w:firstLineChars="200"/>
        <w:rPr>
          <w:rFonts w:hint="eastAsia" w:asciiTheme="minorEastAsia" w:hAnsiTheme="minorEastAsia" w:eastAsiaTheme="minorEastAsia"/>
          <w:sz w:val="24"/>
          <w:szCs w:val="24"/>
        </w:rPr>
      </w:pPr>
    </w:p>
    <w:p>
      <w:pPr>
        <w:pStyle w:val="13"/>
        <w:spacing w:after="0" w:line="400" w:lineRule="exact"/>
        <w:ind w:firstLine="480" w:firstLineChars="200"/>
        <w:rPr>
          <w:rFonts w:hint="eastAsia" w:asciiTheme="minorEastAsia" w:hAnsiTheme="minorEastAsia" w:eastAsiaTheme="minorEastAsia"/>
          <w:sz w:val="24"/>
          <w:szCs w:val="24"/>
        </w:rPr>
      </w:pPr>
    </w:p>
    <w:p>
      <w:pPr>
        <w:pStyle w:val="13"/>
        <w:spacing w:after="0" w:line="400" w:lineRule="exact"/>
        <w:ind w:firstLine="480" w:firstLineChars="200"/>
        <w:rPr>
          <w:rFonts w:asciiTheme="minorEastAsia" w:hAnsiTheme="minorEastAsia" w:eastAsiaTheme="minorEastAsia"/>
          <w:sz w:val="24"/>
          <w:szCs w:val="24"/>
        </w:rPr>
      </w:pPr>
    </w:p>
    <w:p>
      <w:pPr>
        <w:widowControl/>
        <w:jc w:val="left"/>
        <w:rPr>
          <w:rFonts w:cs="华文楷体" w:asciiTheme="minorEastAsia" w:hAnsiTheme="minorEastAsia" w:eastAsiaTheme="minorEastAsia"/>
          <w:b/>
          <w:bCs/>
          <w:color w:val="000000" w:themeColor="text1"/>
          <w:kern w:val="0"/>
          <w:sz w:val="24"/>
        </w:rPr>
      </w:pPr>
      <w:r>
        <w:rPr>
          <w:rFonts w:hint="eastAsia" w:cs="华文楷体" w:asciiTheme="minorEastAsia" w:hAnsiTheme="minorEastAsia" w:eastAsiaTheme="minorEastAsia"/>
          <w:b/>
          <w:color w:val="000000" w:themeColor="text1"/>
          <w:sz w:val="24"/>
        </w:rPr>
        <w:t>（六）商务与技术条款偏离表</w:t>
      </w:r>
    </w:p>
    <w:tbl>
      <w:tblPr>
        <w:tblStyle w:val="14"/>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磋商文件</w:t>
            </w:r>
            <w:r>
              <w:rPr>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投标</w:t>
            </w:r>
            <w:r>
              <w:rPr>
                <w:b/>
                <w:bCs/>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bl>
    <w:p>
      <w:pPr>
        <w:ind w:left="413" w:hanging="413" w:hangingChars="196"/>
        <w:rPr>
          <w:rFonts w:hint="eastAsia"/>
          <w:b/>
        </w:rPr>
      </w:pPr>
      <w:r>
        <w:rPr>
          <w:b/>
        </w:rPr>
        <w:t>注：如无偏差，投标人不需要填表，但应声明：“本</w:t>
      </w:r>
      <w:r>
        <w:rPr>
          <w:rFonts w:hint="eastAsia"/>
          <w:b/>
        </w:rPr>
        <w:t>投标</w:t>
      </w:r>
      <w:r>
        <w:rPr>
          <w:b/>
        </w:rPr>
        <w:t>文件完全响应磋商文件所有条款的要求，无偏差。”</w:t>
      </w:r>
      <w:bookmarkEnd w:id="6"/>
    </w:p>
    <w:p>
      <w:pPr>
        <w:ind w:left="413" w:hanging="413" w:hangingChars="196"/>
        <w:rPr>
          <w:rFonts w:hint="eastAsia"/>
          <w:b/>
        </w:rPr>
      </w:pPr>
    </w:p>
    <w:p>
      <w:pPr>
        <w:ind w:left="470" w:hanging="470" w:hangingChars="196"/>
        <w:rPr>
          <w:rFonts w:hint="eastAsia" w:cs="华文楷体" w:asciiTheme="minorEastAsia" w:hAnsiTheme="minorEastAsia" w:eastAsiaTheme="minorEastAsia"/>
          <w:color w:val="000000" w:themeColor="text1"/>
          <w:sz w:val="24"/>
          <w:u w:val="single"/>
        </w:rPr>
      </w:pPr>
      <w:r>
        <w:rPr>
          <w:rFonts w:cs="华文楷体" w:asciiTheme="minorEastAsia" w:hAnsiTheme="minorEastAsia" w:eastAsiaTheme="minorEastAsia"/>
          <w:color w:val="000000" w:themeColor="text1"/>
          <w:sz w:val="24"/>
        </w:rPr>
        <w:t>投标人：</w:t>
      </w:r>
      <w:r>
        <w:rPr>
          <w:rFonts w:cs="华文楷体" w:asciiTheme="minorEastAsia" w:hAnsiTheme="minorEastAsia" w:eastAsiaTheme="minorEastAsia"/>
          <w:color w:val="000000" w:themeColor="text1"/>
          <w:sz w:val="24"/>
          <w:u w:val="single"/>
        </w:rPr>
        <w:t xml:space="preserve">   （单位全称） （盖章）   </w:t>
      </w:r>
    </w:p>
    <w:p>
      <w:pPr>
        <w:ind w:left="470" w:hanging="470" w:hangingChars="196"/>
        <w:rPr>
          <w:rFonts w:hint="eastAsia" w:cs="华文楷体" w:asciiTheme="minorEastAsia" w:hAnsiTheme="minorEastAsia" w:eastAsiaTheme="minorEastAsia"/>
          <w:color w:val="000000" w:themeColor="text1"/>
          <w:sz w:val="24"/>
          <w:u w:val="single"/>
        </w:rPr>
      </w:pPr>
    </w:p>
    <w:p>
      <w:pPr>
        <w:ind w:left="470" w:hanging="470" w:hangingChars="196"/>
        <w:rPr>
          <w:rFonts w:hint="eastAsia"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投标人代表签字：___________________</w:t>
      </w:r>
      <w:bookmarkStart w:id="8" w:name="_Toc86202650"/>
    </w:p>
    <w:p>
      <w:pPr>
        <w:ind w:left="470" w:hanging="470" w:hangingChars="196"/>
        <w:rPr>
          <w:rFonts w:hint="eastAsia" w:cs="华文楷体" w:asciiTheme="minorEastAsia" w:hAnsiTheme="minorEastAsia" w:eastAsiaTheme="minorEastAsia"/>
          <w:color w:val="000000" w:themeColor="text1"/>
          <w:sz w:val="24"/>
        </w:rPr>
      </w:pPr>
    </w:p>
    <w:p>
      <w:pPr>
        <w:ind w:left="470" w:hanging="470" w:hangingChars="196"/>
        <w:rPr>
          <w:b/>
        </w:rPr>
      </w:pPr>
      <w:r>
        <w:rPr>
          <w:rFonts w:hint="eastAsia" w:cs="华文楷体" w:asciiTheme="minorEastAsia" w:hAnsiTheme="minorEastAsia" w:eastAsiaTheme="minorEastAsia"/>
          <w:color w:val="000000" w:themeColor="text1"/>
          <w:sz w:val="24"/>
        </w:rPr>
        <w:t>日期：</w:t>
      </w:r>
      <w:bookmarkEnd w:id="8"/>
    </w:p>
    <w:p>
      <w:pPr>
        <w:pStyle w:val="26"/>
        <w:rPr>
          <w:rFonts w:hint="eastAsia" w:cs="华文楷体" w:asciiTheme="minorEastAsia" w:hAnsiTheme="minorEastAsia" w:eastAsiaTheme="minorEastAsia"/>
          <w:color w:val="000000" w:themeColor="text1"/>
          <w:sz w:val="24"/>
        </w:rPr>
      </w:pPr>
    </w:p>
    <w:p>
      <w:pPr>
        <w:pStyle w:val="26"/>
        <w:rPr>
          <w:rFonts w:hint="eastAsia" w:cs="华文楷体" w:asciiTheme="minorEastAsia" w:hAnsiTheme="minorEastAsia" w:eastAsiaTheme="minorEastAsia"/>
          <w:color w:val="000000" w:themeColor="text1"/>
          <w:sz w:val="24"/>
        </w:rPr>
      </w:pPr>
    </w:p>
    <w:p>
      <w:pPr>
        <w:pStyle w:val="26"/>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（七）资格审查符合性审查材料索引表</w:t>
      </w:r>
    </w:p>
    <w:tbl>
      <w:tblPr>
        <w:tblStyle w:val="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cs="楷体"/>
                <w:bCs/>
                <w:sz w:val="24"/>
              </w:rPr>
              <w:t>法定代表人的授权委托书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3</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4</w:t>
            </w:r>
          </w:p>
        </w:tc>
        <w:tc>
          <w:tcPr>
            <w:tcW w:w="4770" w:type="dxa"/>
            <w:vAlign w:val="center"/>
          </w:tcPr>
          <w:p>
            <w:pPr>
              <w:jc w:val="center"/>
              <w:rPr>
                <w:rFonts w:ascii="宋体" w:hAnsi="宋体" w:cs="楷体"/>
                <w:bCs/>
                <w:sz w:val="24"/>
              </w:rPr>
            </w:pPr>
            <w:r>
              <w:rPr>
                <w:rFonts w:hint="eastAsia" w:ascii="宋体" w:hAnsi="宋体" w:cs="楷体"/>
                <w:bCs/>
                <w:sz w:val="24"/>
              </w:rPr>
              <w:t>营业执照复印件</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5</w:t>
            </w:r>
          </w:p>
        </w:tc>
        <w:tc>
          <w:tcPr>
            <w:tcW w:w="4770" w:type="dxa"/>
            <w:vAlign w:val="center"/>
          </w:tcPr>
          <w:p>
            <w:pPr>
              <w:jc w:val="center"/>
              <w:rPr>
                <w:rFonts w:ascii="宋体" w:hAnsi="宋体" w:cs="楷体"/>
                <w:bCs/>
                <w:sz w:val="24"/>
              </w:rPr>
            </w:pPr>
            <w:r>
              <w:rPr>
                <w:rFonts w:hint="eastAsia" w:ascii="宋体" w:hAnsi="宋体" w:cs="楷体"/>
                <w:bCs/>
                <w:sz w:val="24"/>
              </w:rPr>
              <w:t>信用查询截图</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6</w:t>
            </w:r>
          </w:p>
        </w:tc>
        <w:tc>
          <w:tcPr>
            <w:tcW w:w="4770" w:type="dxa"/>
            <w:vAlign w:val="center"/>
          </w:tcPr>
          <w:p>
            <w:pPr>
              <w:jc w:val="center"/>
              <w:rPr>
                <w:rFonts w:ascii="宋体" w:hAnsi="宋体" w:cs="楷体"/>
                <w:bCs/>
                <w:sz w:val="24"/>
              </w:rPr>
            </w:pPr>
            <w:r>
              <w:rPr>
                <w:rFonts w:hint="eastAsia" w:ascii="宋体" w:hAnsi="宋体" w:cs="楷体"/>
                <w:bCs/>
                <w:sz w:val="24"/>
              </w:rPr>
              <w:t>投标单位为投标代表缴纳社保证明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7</w:t>
            </w:r>
          </w:p>
        </w:tc>
        <w:tc>
          <w:tcPr>
            <w:tcW w:w="4770" w:type="dxa"/>
            <w:vAlign w:val="center"/>
          </w:tcPr>
          <w:p>
            <w:pPr>
              <w:jc w:val="center"/>
              <w:rPr>
                <w:rFonts w:ascii="宋体" w:hAnsi="宋体" w:cs="楷体"/>
                <w:bCs/>
                <w:sz w:val="24"/>
              </w:rPr>
            </w:pPr>
            <w:r>
              <w:rPr>
                <w:rFonts w:hint="eastAsia" w:ascii="宋体" w:hAnsi="宋体" w:cs="楷体"/>
                <w:bCs/>
                <w:sz w:val="24"/>
              </w:rPr>
              <w:t>商务和技术偏离表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bl>
    <w:p>
      <w:pPr>
        <w:pStyle w:val="43"/>
        <w:spacing w:after="0"/>
        <w:ind w:firstLine="283" w:firstLineChars="118"/>
        <w:rPr>
          <w:rFonts w:ascii="宋体" w:hAnsi="宋体" w:eastAsia="宋体"/>
          <w:sz w:val="24"/>
          <w:szCs w:val="24"/>
        </w:rPr>
      </w:pPr>
      <w:r>
        <w:rPr>
          <w:rFonts w:hint="eastAsia" w:ascii="宋体" w:hAnsi="宋体" w:eastAsia="宋体"/>
          <w:sz w:val="24"/>
          <w:szCs w:val="24"/>
        </w:rPr>
        <w:t>注：</w:t>
      </w:r>
    </w:p>
    <w:p>
      <w:pPr>
        <w:pStyle w:val="43"/>
        <w:spacing w:after="0"/>
        <w:ind w:firstLine="283" w:firstLineChars="118"/>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43"/>
        <w:spacing w:after="0"/>
        <w:ind w:firstLine="283" w:firstLineChars="118"/>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13"/>
        <w:ind w:left="0" w:leftChars="0" w:firstLine="0" w:firstLineChars="0"/>
      </w:pPr>
    </w:p>
    <w:p>
      <w:pPr>
        <w:pStyle w:val="26"/>
        <w:ind w:firstLine="118" w:firstLineChars="4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（八）评分索引表</w:t>
      </w:r>
    </w:p>
    <w:tbl>
      <w:tblPr>
        <w:tblStyle w:val="14"/>
        <w:tblW w:w="96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9"/>
        <w:gridCol w:w="734"/>
        <w:gridCol w:w="1418"/>
        <w:gridCol w:w="5511"/>
        <w:gridCol w:w="708"/>
        <w:gridCol w:w="301"/>
        <w:gridCol w:w="4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5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序号</w:t>
            </w:r>
          </w:p>
        </w:tc>
        <w:tc>
          <w:tcPr>
            <w:tcW w:w="73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评审因素</w:t>
            </w:r>
          </w:p>
        </w:tc>
        <w:tc>
          <w:tcPr>
            <w:tcW w:w="14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评审项目</w:t>
            </w:r>
          </w:p>
        </w:tc>
        <w:tc>
          <w:tcPr>
            <w:tcW w:w="551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评审细则</w:t>
            </w:r>
          </w:p>
        </w:tc>
        <w:tc>
          <w:tcPr>
            <w:tcW w:w="708" w:type="dxa"/>
            <w:tcBorders>
              <w:top w:val="single" w:color="000000" w:sz="6" w:space="0"/>
              <w:left w:val="nil"/>
              <w:bottom w:val="single" w:color="auto" w:sz="4" w:space="0"/>
              <w:right w:val="nil"/>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分值</w:t>
            </w:r>
          </w:p>
        </w:tc>
        <w:tc>
          <w:tcPr>
            <w:tcW w:w="301" w:type="dxa"/>
            <w:tcBorders>
              <w:top w:val="single" w:color="000000" w:sz="6" w:space="0"/>
              <w:left w:val="nil"/>
              <w:bottom w:val="single" w:color="auto" w:sz="4" w:space="0"/>
              <w:right w:val="single" w:color="000000" w:sz="6" w:space="0"/>
            </w:tcBorders>
            <w:tcMar>
              <w:top w:w="0" w:type="dxa"/>
              <w:left w:w="105" w:type="dxa"/>
              <w:bottom w:w="0" w:type="dxa"/>
              <w:right w:w="105" w:type="dxa"/>
            </w:tcMar>
            <w:vAlign w:val="center"/>
          </w:tcPr>
          <w:p>
            <w:pPr>
              <w:widowControl/>
              <w:spacing w:before="100" w:beforeAutospacing="1" w:after="100" w:afterAutospacing="1"/>
              <w:rPr>
                <w:rFonts w:cs="宋体" w:asciiTheme="minorEastAsia" w:hAnsiTheme="minorEastAsia" w:eastAsiaTheme="minorEastAsia"/>
                <w:kern w:val="0"/>
                <w:sz w:val="24"/>
              </w:rPr>
            </w:pPr>
          </w:p>
        </w:tc>
        <w:tc>
          <w:tcPr>
            <w:tcW w:w="407" w:type="dxa"/>
            <w:tcBorders>
              <w:top w:val="single" w:color="000000" w:sz="6" w:space="0"/>
              <w:left w:val="nil"/>
              <w:bottom w:val="single" w:color="auto" w:sz="4"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对应页码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r>
              <w:rPr>
                <w:rFonts w:hint="eastAsia" w:ascii="宋体" w:hAnsi="宋体" w:cs="楷体"/>
                <w:kern w:val="0"/>
                <w:sz w:val="24"/>
              </w:rPr>
              <w:t>技术</w:t>
            </w:r>
          </w:p>
          <w:p>
            <w:pPr>
              <w:widowControl/>
              <w:jc w:val="center"/>
              <w:rPr>
                <w:rFonts w:ascii="宋体" w:hAnsi="宋体" w:cs="楷体"/>
                <w:kern w:val="0"/>
                <w:sz w:val="24"/>
              </w:rPr>
            </w:pPr>
            <w:r>
              <w:rPr>
                <w:rFonts w:ascii="宋体" w:hAnsi="宋体" w:cs="楷体"/>
                <w:kern w:val="0"/>
                <w:sz w:val="24"/>
              </w:rPr>
              <w:t>5</w:t>
            </w:r>
            <w:r>
              <w:rPr>
                <w:rFonts w:hint="eastAsia" w:ascii="宋体" w:hAnsi="宋体" w:cs="楷体"/>
                <w:kern w:val="0"/>
                <w:sz w:val="24"/>
              </w:rPr>
              <w:t>0分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ascii="宋体" w:hAnsi="宋体" w:cs="宋体"/>
                <w:color w:val="000000"/>
                <w:sz w:val="24"/>
              </w:rPr>
              <w:t>技术参数及功能响应（</w:t>
            </w:r>
            <w:r>
              <w:rPr>
                <w:rFonts w:hint="eastAsia" w:ascii="宋体" w:hAnsi="宋体" w:cs="宋体"/>
                <w:color w:val="000000"/>
                <w:sz w:val="24"/>
                <w:lang w:val="en-US" w:eastAsia="zh-CN"/>
              </w:rPr>
              <w:t>30</w:t>
            </w:r>
            <w:r>
              <w:rPr>
                <w:rFonts w:hint="eastAsia" w:ascii="宋体" w:hAnsi="宋体" w:cs="宋体"/>
                <w:color w:val="000000"/>
                <w:sz w:val="24"/>
              </w:rPr>
              <w:t>分）</w:t>
            </w:r>
          </w:p>
        </w:tc>
        <w:tc>
          <w:tcPr>
            <w:tcW w:w="5511" w:type="dxa"/>
            <w:tcBorders>
              <w:top w:val="nil"/>
              <w:left w:val="nil"/>
              <w:bottom w:val="single" w:color="auto" w:sz="4" w:space="0"/>
              <w:right w:val="single" w:color="auto"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color w:val="000000"/>
                <w:sz w:val="24"/>
              </w:rPr>
              <w:t>投标产品技术参数全部符合磋商文件技术要求的得</w:t>
            </w:r>
            <w:r>
              <w:rPr>
                <w:rFonts w:hint="eastAsia" w:ascii="宋体" w:hAnsi="宋体" w:cs="楷体"/>
                <w:color w:val="000000"/>
                <w:sz w:val="24"/>
                <w:lang w:val="en-US" w:eastAsia="zh-CN"/>
              </w:rPr>
              <w:t>26</w:t>
            </w:r>
            <w:r>
              <w:rPr>
                <w:rFonts w:hint="eastAsia" w:ascii="宋体" w:hAnsi="宋体" w:cs="楷体"/>
                <w:color w:val="000000"/>
                <w:sz w:val="24"/>
              </w:rPr>
              <w:t>分。每负偏离一项扣2分，扣完为止；有一项评委组认可的正偏离加1分。本项最高得</w:t>
            </w:r>
            <w:r>
              <w:rPr>
                <w:rFonts w:hint="eastAsia" w:ascii="宋体" w:hAnsi="宋体" w:cs="楷体"/>
                <w:color w:val="000000"/>
                <w:sz w:val="24"/>
                <w:lang w:val="en-US" w:eastAsia="zh-CN"/>
              </w:rPr>
              <w:t>30</w:t>
            </w:r>
            <w:r>
              <w:rPr>
                <w:rFonts w:hint="eastAsia" w:ascii="宋体" w:hAnsi="宋体" w:cs="楷体"/>
                <w:color w:val="000000"/>
                <w:sz w:val="24"/>
              </w:rPr>
              <w:t>分。</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30</w:t>
            </w:r>
          </w:p>
        </w:tc>
        <w:tc>
          <w:tcPr>
            <w:tcW w:w="4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宋体" w:hAnsi="宋体" w:cs="宋体"/>
                <w:color w:val="000000"/>
                <w:sz w:val="24"/>
              </w:rPr>
            </w:pPr>
            <w:r>
              <w:rPr>
                <w:rFonts w:hint="eastAsia" w:asciiTheme="minorEastAsia" w:hAnsiTheme="minorEastAsia" w:eastAsiaTheme="minorEastAsia"/>
                <w:sz w:val="24"/>
              </w:rPr>
              <w:t>品牌和选型（</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分）</w:t>
            </w:r>
          </w:p>
        </w:tc>
        <w:tc>
          <w:tcPr>
            <w:tcW w:w="5511" w:type="dxa"/>
            <w:tcBorders>
              <w:top w:val="single" w:color="auto" w:sz="4" w:space="0"/>
              <w:left w:val="nil"/>
              <w:bottom w:val="single" w:color="000000" w:sz="6" w:space="0"/>
              <w:right w:val="single" w:color="auto" w:sz="4" w:space="0"/>
            </w:tcBorders>
            <w:tcMar>
              <w:top w:w="0" w:type="dxa"/>
              <w:left w:w="105" w:type="dxa"/>
              <w:bottom w:w="0" w:type="dxa"/>
              <w:right w:w="105" w:type="dxa"/>
            </w:tcMar>
            <w:vAlign w:val="center"/>
          </w:tcPr>
          <w:p>
            <w:pPr>
              <w:widowControl/>
              <w:jc w:val="left"/>
              <w:rPr>
                <w:rFonts w:ascii="宋体" w:hAnsi="宋体" w:cs="楷体"/>
                <w:color w:val="000000"/>
                <w:sz w:val="24"/>
              </w:rPr>
            </w:pPr>
            <w:r>
              <w:rPr>
                <w:rFonts w:hint="eastAsia" w:cs="宋体" w:asciiTheme="minorEastAsia" w:hAnsiTheme="minorEastAsia" w:eastAsiaTheme="minorEastAsia"/>
                <w:kern w:val="0"/>
                <w:sz w:val="24"/>
              </w:rPr>
              <w:t>根据投标人所投设备的品牌与选型情况进行综合打分。优等</w:t>
            </w:r>
            <w:r>
              <w:rPr>
                <w:rFonts w:hint="eastAsia" w:cs="宋体" w:asciiTheme="minorEastAsia" w:hAnsiTheme="minorEastAsia" w:eastAsiaTheme="minorEastAsia"/>
                <w:kern w:val="0"/>
                <w:sz w:val="24"/>
                <w:lang w:val="en-US" w:eastAsia="zh-CN"/>
              </w:rPr>
              <w:t>17</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20</w:t>
            </w:r>
            <w:r>
              <w:rPr>
                <w:rFonts w:hint="eastAsia" w:cs="宋体" w:asciiTheme="minorEastAsia" w:hAnsiTheme="minorEastAsia" w:eastAsiaTheme="minorEastAsia"/>
                <w:kern w:val="0"/>
                <w:sz w:val="24"/>
              </w:rPr>
              <w:t>分；良等的</w:t>
            </w:r>
            <w:r>
              <w:rPr>
                <w:rFonts w:hint="eastAsia" w:cs="宋体" w:asciiTheme="minorEastAsia" w:hAnsiTheme="minorEastAsia" w:eastAsiaTheme="minorEastAsia"/>
                <w:kern w:val="0"/>
                <w:sz w:val="24"/>
                <w:lang w:val="en-US" w:eastAsia="zh-CN"/>
              </w:rPr>
              <w:t>13</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16</w:t>
            </w:r>
            <w:r>
              <w:rPr>
                <w:rFonts w:hint="eastAsia" w:cs="宋体" w:asciiTheme="minorEastAsia" w:hAnsiTheme="minorEastAsia" w:eastAsiaTheme="minorEastAsia"/>
                <w:kern w:val="0"/>
                <w:sz w:val="24"/>
              </w:rPr>
              <w:t>分，一般的</w:t>
            </w:r>
            <w:r>
              <w:rPr>
                <w:rFonts w:hint="eastAsia" w:cs="宋体" w:asciiTheme="minorEastAsia" w:hAnsiTheme="minorEastAsia" w:eastAsiaTheme="minorEastAsia"/>
                <w:kern w:val="0"/>
                <w:sz w:val="24"/>
                <w:lang w:val="en-US" w:eastAsia="zh-CN"/>
              </w:rPr>
              <w:t>12</w:t>
            </w:r>
            <w:r>
              <w:rPr>
                <w:rFonts w:hint="eastAsia" w:cs="宋体" w:asciiTheme="minorEastAsia" w:hAnsiTheme="minorEastAsia" w:eastAsiaTheme="minorEastAsia"/>
                <w:kern w:val="0"/>
                <w:sz w:val="24"/>
              </w:rPr>
              <w:t>分，其他的</w:t>
            </w:r>
            <w:r>
              <w:rPr>
                <w:rFonts w:hint="eastAsia" w:cs="宋体" w:asciiTheme="minorEastAsia" w:hAnsiTheme="minorEastAsia" w:eastAsiaTheme="minorEastAsia"/>
                <w:kern w:val="0"/>
                <w:sz w:val="24"/>
                <w:lang w:val="en-US" w:eastAsia="zh-CN"/>
              </w:rPr>
              <w:t>12</w:t>
            </w:r>
            <w:r>
              <w:rPr>
                <w:rFonts w:hint="eastAsia" w:cs="宋体" w:asciiTheme="minorEastAsia" w:hAnsiTheme="minorEastAsia" w:eastAsiaTheme="minorEastAsia"/>
                <w:kern w:val="0"/>
                <w:sz w:val="24"/>
              </w:rPr>
              <w:t>分以下。</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20</w:t>
            </w:r>
          </w:p>
        </w:tc>
        <w:tc>
          <w:tcPr>
            <w:tcW w:w="40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widowControl/>
              <w:rPr>
                <w:rFonts w:cs="宋体" w:asciiTheme="minorEastAsia" w:hAnsiTheme="minorEastAsia" w:eastAsiaTheme="minorEastAsia"/>
                <w:kern w:val="0"/>
                <w:sz w:val="24"/>
              </w:rPr>
            </w:pPr>
            <w:r>
              <w:rPr>
                <w:rFonts w:hint="eastAsia" w:ascii="宋体" w:hAnsi="宋体" w:cs="楷体"/>
                <w:kern w:val="0"/>
                <w:sz w:val="24"/>
              </w:rPr>
              <w:t>商务2</w:t>
            </w:r>
            <w:r>
              <w:rPr>
                <w:rFonts w:ascii="宋体" w:hAnsi="宋体" w:cs="楷体"/>
                <w:kern w:val="0"/>
                <w:sz w:val="24"/>
              </w:rPr>
              <w:t>0</w:t>
            </w:r>
            <w:r>
              <w:rPr>
                <w:rFonts w:hint="eastAsia" w:ascii="宋体" w:hAnsi="宋体" w:cs="楷体"/>
                <w:kern w:val="0"/>
                <w:sz w:val="24"/>
              </w:rPr>
              <w:t>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ascii="宋体" w:hAnsi="宋体" w:cs="楷体"/>
                <w:kern w:val="0"/>
                <w:sz w:val="24"/>
              </w:rPr>
              <w:t>整体实力（5分）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c>
          <w:tcPr>
            <w:tcW w:w="1009" w:type="dxa"/>
            <w:gridSpan w:val="2"/>
            <w:tcBorders>
              <w:top w:val="single" w:color="auto" w:sz="4" w:space="0"/>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c>
          <w:tcPr>
            <w:tcW w:w="407" w:type="dxa"/>
            <w:tcBorders>
              <w:top w:val="single" w:color="auto" w:sz="4" w:space="0"/>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559" w:type="dxa"/>
            <w:vMerge w:val="continue"/>
            <w:tcBorders>
              <w:left w:val="single" w:color="000000" w:sz="6" w:space="0"/>
              <w:right w:val="single" w:color="000000" w:sz="6" w:space="0"/>
            </w:tcBorders>
            <w:vAlign w:val="center"/>
          </w:tcPr>
          <w:p>
            <w:pPr>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vAlign w:val="center"/>
          </w:tcPr>
          <w:p>
            <w:pPr>
              <w:jc w:val="center"/>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ascii="宋体" w:hAnsi="宋体" w:cs="楷体"/>
                <w:kern w:val="0"/>
                <w:sz w:val="24"/>
              </w:rPr>
              <w:t>业绩及信誉（5分）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投标文件中提供投标人自2020年1月1日以来类似项目业绩，有一份得1分，最高得5分。（</w:t>
            </w:r>
            <w:r>
              <w:rPr>
                <w:rFonts w:hint="eastAsia" w:cs="宋体" w:asciiTheme="minorEastAsia" w:hAnsiTheme="minorEastAsia" w:eastAsiaTheme="minorEastAsia"/>
                <w:b/>
                <w:kern w:val="0"/>
                <w:sz w:val="24"/>
              </w:rPr>
              <w:t>合同复印件需加盖投标单位公章，否则不得分。</w:t>
            </w:r>
            <w:r>
              <w:rPr>
                <w:rFonts w:hint="eastAsia" w:cs="宋体" w:asciiTheme="minorEastAsia" w:hAnsiTheme="minorEastAsia" w:eastAsiaTheme="minorEastAsia"/>
                <w:kern w:val="0"/>
                <w:sz w:val="24"/>
              </w:rPr>
              <w:t>）</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c>
          <w:tcPr>
            <w:tcW w:w="407"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Theme="minorEastAsia" w:hAnsiTheme="minorEastAsia" w:eastAsiaTheme="minorEastAsia"/>
                <w:sz w:val="24"/>
              </w:rPr>
            </w:pPr>
            <w:r>
              <w:rPr>
                <w:rFonts w:hint="eastAsia" w:ascii="宋体" w:hAnsi="宋体" w:cs="楷体"/>
                <w:kern w:val="0"/>
                <w:sz w:val="24"/>
              </w:rPr>
              <w:t>质保（</w:t>
            </w:r>
            <w:r>
              <w:rPr>
                <w:rFonts w:ascii="宋体" w:hAnsi="宋体" w:cs="楷体"/>
                <w:kern w:val="0"/>
                <w:sz w:val="24"/>
              </w:rPr>
              <w:t>5</w:t>
            </w:r>
            <w:r>
              <w:rPr>
                <w:rFonts w:hint="eastAsia" w:ascii="宋体" w:hAnsi="宋体" w:cs="楷体"/>
                <w:kern w:val="0"/>
                <w:sz w:val="24"/>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kern w:val="0"/>
                <w:sz w:val="24"/>
              </w:rPr>
              <w:t>满足磋商文件质保要求得3分，每增加1年质保加1分，本项最高得5分。</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07"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59" w:type="dxa"/>
            <w:vMerge w:val="continue"/>
            <w:tcBorders>
              <w:left w:val="single" w:color="000000" w:sz="6" w:space="0"/>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p>
        </w:tc>
        <w:tc>
          <w:tcPr>
            <w:tcW w:w="734" w:type="dxa"/>
            <w:vMerge w:val="continue"/>
            <w:tcBorders>
              <w:left w:val="nil"/>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宋体" w:hAnsi="宋体" w:cs="楷体"/>
                <w:kern w:val="0"/>
                <w:sz w:val="24"/>
              </w:rPr>
            </w:pPr>
            <w:r>
              <w:rPr>
                <w:rFonts w:hint="eastAsia" w:ascii="宋体" w:hAnsi="宋体" w:cs="楷体"/>
                <w:kern w:val="0"/>
                <w:sz w:val="24"/>
              </w:rPr>
              <w:t>售后服务</w:t>
            </w:r>
          </w:p>
          <w:p>
            <w:pPr>
              <w:widowControl/>
              <w:jc w:val="center"/>
              <w:rPr>
                <w:rFonts w:asciiTheme="minorEastAsia" w:hAnsiTheme="minorEastAsia" w:eastAsiaTheme="minorEastAsia"/>
                <w:sz w:val="24"/>
              </w:rPr>
            </w:pPr>
            <w:r>
              <w:rPr>
                <w:rFonts w:hint="eastAsia" w:ascii="宋体" w:hAnsi="宋体" w:cs="楷体"/>
                <w:kern w:val="0"/>
                <w:sz w:val="24"/>
              </w:rPr>
              <w:t>（</w:t>
            </w:r>
            <w:r>
              <w:rPr>
                <w:rFonts w:ascii="宋体" w:hAnsi="宋体" w:cs="楷体"/>
                <w:kern w:val="0"/>
                <w:sz w:val="24"/>
              </w:rPr>
              <w:t>5</w:t>
            </w:r>
            <w:r>
              <w:rPr>
                <w:rFonts w:hint="eastAsia" w:ascii="宋体" w:hAnsi="宋体" w:cs="楷体"/>
                <w:kern w:val="0"/>
                <w:sz w:val="24"/>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hint="eastAsia" w:ascii="宋体" w:hAnsi="宋体" w:cs="楷体"/>
                <w:kern w:val="0"/>
                <w:sz w:val="24"/>
              </w:rPr>
              <w:t>分，良得</w:t>
            </w:r>
            <w:r>
              <w:rPr>
                <w:rFonts w:ascii="宋体" w:hAnsi="宋体" w:cs="楷体"/>
                <w:kern w:val="0"/>
                <w:sz w:val="24"/>
              </w:rPr>
              <w:t>4</w:t>
            </w:r>
            <w:r>
              <w:rPr>
                <w:rFonts w:hint="eastAsia" w:ascii="宋体" w:hAnsi="宋体" w:cs="楷体"/>
                <w:kern w:val="0"/>
                <w:sz w:val="24"/>
              </w:rPr>
              <w:t>分，一般得</w:t>
            </w:r>
            <w:r>
              <w:rPr>
                <w:rFonts w:ascii="宋体" w:hAnsi="宋体" w:cs="楷体"/>
                <w:kern w:val="0"/>
                <w:sz w:val="24"/>
              </w:rPr>
              <w:t>3</w:t>
            </w:r>
            <w:r>
              <w:rPr>
                <w:rFonts w:hint="eastAsia" w:ascii="宋体" w:hAnsi="宋体" w:cs="楷体"/>
                <w:kern w:val="0"/>
                <w:sz w:val="24"/>
              </w:rPr>
              <w:t>分，其他得</w:t>
            </w:r>
            <w:r>
              <w:rPr>
                <w:rFonts w:ascii="宋体" w:hAnsi="宋体" w:cs="楷体"/>
                <w:kern w:val="0"/>
                <w:sz w:val="24"/>
              </w:rPr>
              <w:t>3</w:t>
            </w:r>
            <w:r>
              <w:rPr>
                <w:rFonts w:hint="eastAsia" w:ascii="宋体" w:hAnsi="宋体" w:cs="楷体"/>
                <w:kern w:val="0"/>
                <w:sz w:val="24"/>
              </w:rPr>
              <w:t>分以下。</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07"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559" w:type="dxa"/>
            <w:tcBorders>
              <w:top w:val="nil"/>
              <w:left w:val="single" w:color="000000" w:sz="6" w:space="0"/>
              <w:bottom w:val="single" w:color="auto" w:sz="4" w:space="0"/>
              <w:right w:val="single" w:color="000000" w:sz="6"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w:t>
            </w:r>
          </w:p>
        </w:tc>
        <w:tc>
          <w:tcPr>
            <w:tcW w:w="734" w:type="dxa"/>
            <w:tcBorders>
              <w:top w:val="nil"/>
              <w:left w:val="nil"/>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价格3</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分</w:t>
            </w:r>
          </w:p>
        </w:tc>
        <w:tc>
          <w:tcPr>
            <w:tcW w:w="1418" w:type="dxa"/>
            <w:tcBorders>
              <w:top w:val="single" w:color="auto" w:sz="4" w:space="0"/>
              <w:left w:val="single" w:color="000000" w:sz="6"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宋体" w:hAnsi="宋体" w:cs="楷体"/>
                <w:kern w:val="0"/>
                <w:sz w:val="24"/>
              </w:rPr>
            </w:pPr>
            <w:r>
              <w:rPr>
                <w:rFonts w:hint="eastAsia" w:ascii="宋体" w:hAnsi="宋体" w:cs="楷体"/>
                <w:kern w:val="0"/>
                <w:sz w:val="24"/>
              </w:rPr>
              <w:t>报价</w:t>
            </w:r>
          </w:p>
          <w:p>
            <w:pPr>
              <w:widowControl/>
              <w:jc w:val="center"/>
              <w:rPr>
                <w:rFonts w:asciiTheme="minorEastAsia" w:hAnsiTheme="minorEastAsia" w:eastAsiaTheme="minorEastAsia"/>
                <w:sz w:val="24"/>
              </w:rPr>
            </w:pPr>
            <w:r>
              <w:rPr>
                <w:rFonts w:hint="eastAsia" w:ascii="宋体" w:hAnsi="宋体" w:cs="楷体"/>
                <w:kern w:val="0"/>
                <w:sz w:val="24"/>
              </w:rPr>
              <w:t>（</w:t>
            </w:r>
            <w:r>
              <w:rPr>
                <w:rFonts w:ascii="宋体" w:hAnsi="宋体" w:cs="楷体"/>
                <w:kern w:val="0"/>
                <w:sz w:val="24"/>
                <w:lang w:eastAsia="ja-JP"/>
              </w:rPr>
              <w:t>3</w:t>
            </w:r>
            <w:r>
              <w:rPr>
                <w:rFonts w:hint="eastAsia" w:ascii="宋体" w:hAnsi="宋体" w:cs="楷体"/>
                <w:kern w:val="0"/>
                <w:sz w:val="24"/>
                <w:lang w:eastAsia="ja-JP"/>
              </w:rPr>
              <w:t>0</w:t>
            </w:r>
            <w:r>
              <w:rPr>
                <w:rFonts w:hint="eastAsia" w:ascii="宋体" w:hAnsi="宋体" w:cs="楷体"/>
                <w:kern w:val="0"/>
                <w:sz w:val="24"/>
              </w:rPr>
              <w:t>分）</w:t>
            </w:r>
          </w:p>
        </w:tc>
        <w:tc>
          <w:tcPr>
            <w:tcW w:w="551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hint="eastAsia" w:ascii="宋体" w:hAnsi="宋体" w:cs="宋体"/>
                <w:kern w:val="0"/>
                <w:sz w:val="24"/>
              </w:rPr>
              <w:t>0</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30</w:t>
            </w:r>
          </w:p>
        </w:tc>
        <w:tc>
          <w:tcPr>
            <w:tcW w:w="40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p>
        </w:tc>
      </w:tr>
    </w:tbl>
    <w:p>
      <w:pPr>
        <w:pStyle w:val="26"/>
        <w:rPr>
          <w:rFonts w:cs="华文楷体" w:asciiTheme="minorEastAsia" w:hAnsiTheme="minorEastAsia" w:eastAsiaTheme="minorEastAsia"/>
          <w:color w:val="000000" w:themeColor="text1"/>
          <w:sz w:val="24"/>
        </w:rPr>
      </w:pPr>
    </w:p>
    <w:p>
      <w:pPr>
        <w:rPr>
          <w:rFonts w:ascii="宋体" w:hAnsi="宋体"/>
          <w:b/>
          <w:sz w:val="24"/>
        </w:rPr>
      </w:pPr>
      <w:r>
        <w:rPr>
          <w:rFonts w:hint="eastAsia" w:ascii="宋体" w:hAnsi="宋体"/>
          <w:sz w:val="24"/>
        </w:rPr>
        <w:t>注：投标人需标明相关材料在投标文件中的对应页码。</w:t>
      </w:r>
    </w:p>
    <w:p>
      <w:pPr>
        <w:widowControl/>
        <w:jc w:val="left"/>
        <w:rPr>
          <w:rFonts w:cs="华文楷体" w:asciiTheme="minorEastAsia" w:hAnsiTheme="minorEastAsia" w:eastAsiaTheme="minorEastAsia"/>
          <w:b/>
          <w:bCs/>
          <w:color w:val="000000" w:themeColor="text1"/>
          <w:kern w:val="0"/>
          <w:sz w:val="24"/>
          <w:szCs w:val="20"/>
        </w:rPr>
      </w:pPr>
      <w:r>
        <w:rPr>
          <w:rFonts w:cs="华文楷体" w:asciiTheme="minorEastAsia" w:hAnsiTheme="minorEastAsia" w:eastAsiaTheme="minorEastAsia"/>
          <w:color w:val="000000" w:themeColor="text1"/>
          <w:sz w:val="24"/>
        </w:rPr>
        <w:br w:type="page"/>
      </w:r>
    </w:p>
    <w:p>
      <w:pPr>
        <w:pStyle w:val="26"/>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本项目评分细则：</w:t>
      </w:r>
    </w:p>
    <w:p>
      <w:pPr>
        <w:pStyle w:val="26"/>
        <w:rPr>
          <w:rFonts w:cs="华文楷体" w:asciiTheme="minorEastAsia" w:hAnsiTheme="minorEastAsia" w:eastAsiaTheme="minorEastAsia"/>
          <w:color w:val="000000" w:themeColor="text1"/>
          <w:sz w:val="24"/>
        </w:rPr>
      </w:pPr>
    </w:p>
    <w:tbl>
      <w:tblPr>
        <w:tblStyle w:val="14"/>
        <w:tblW w:w="923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9"/>
        <w:gridCol w:w="734"/>
        <w:gridCol w:w="1418"/>
        <w:gridCol w:w="5511"/>
        <w:gridCol w:w="708"/>
        <w:gridCol w:w="3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5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序号</w:t>
            </w:r>
          </w:p>
        </w:tc>
        <w:tc>
          <w:tcPr>
            <w:tcW w:w="73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评审因素</w:t>
            </w:r>
          </w:p>
        </w:tc>
        <w:tc>
          <w:tcPr>
            <w:tcW w:w="14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评审项目</w:t>
            </w:r>
          </w:p>
        </w:tc>
        <w:tc>
          <w:tcPr>
            <w:tcW w:w="551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评审细则</w:t>
            </w:r>
          </w:p>
        </w:tc>
        <w:tc>
          <w:tcPr>
            <w:tcW w:w="708" w:type="dxa"/>
            <w:tcBorders>
              <w:top w:val="single" w:color="000000" w:sz="6" w:space="0"/>
              <w:left w:val="nil"/>
              <w:bottom w:val="single" w:color="auto" w:sz="4" w:space="0"/>
              <w:right w:val="nil"/>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 xml:space="preserve"> 分值</w:t>
            </w:r>
          </w:p>
        </w:tc>
        <w:tc>
          <w:tcPr>
            <w:tcW w:w="301" w:type="dxa"/>
            <w:tcBorders>
              <w:top w:val="single" w:color="000000" w:sz="6" w:space="0"/>
              <w:left w:val="nil"/>
              <w:bottom w:val="single" w:color="auto" w:sz="4" w:space="0"/>
              <w:right w:val="single" w:color="000000" w:sz="6" w:space="0"/>
            </w:tcBorders>
            <w:tcMar>
              <w:top w:w="0" w:type="dxa"/>
              <w:left w:w="105" w:type="dxa"/>
              <w:bottom w:w="0" w:type="dxa"/>
              <w:right w:w="105" w:type="dxa"/>
            </w:tcMar>
            <w:vAlign w:val="center"/>
          </w:tcPr>
          <w:p>
            <w:pPr>
              <w:widowControl/>
              <w:spacing w:before="100" w:beforeAutospacing="1" w:after="100" w:afterAutospacing="1"/>
              <w:rPr>
                <w:rFonts w:cs="宋体" w:asciiTheme="minorEastAsia" w:hAnsiTheme="minorEastAsia" w:eastAsiaTheme="minorEastAsia"/>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r>
              <w:rPr>
                <w:rFonts w:hint="eastAsia" w:ascii="宋体" w:hAnsi="宋体" w:cs="楷体"/>
                <w:kern w:val="0"/>
                <w:sz w:val="24"/>
              </w:rPr>
              <w:t>技术</w:t>
            </w:r>
          </w:p>
          <w:p>
            <w:pPr>
              <w:widowControl/>
              <w:jc w:val="center"/>
              <w:rPr>
                <w:rFonts w:ascii="宋体" w:hAnsi="宋体" w:cs="楷体"/>
                <w:kern w:val="0"/>
                <w:sz w:val="24"/>
              </w:rPr>
            </w:pPr>
            <w:r>
              <w:rPr>
                <w:rFonts w:ascii="宋体" w:hAnsi="宋体" w:cs="楷体"/>
                <w:kern w:val="0"/>
                <w:sz w:val="24"/>
              </w:rPr>
              <w:t>5</w:t>
            </w:r>
            <w:r>
              <w:rPr>
                <w:rFonts w:hint="eastAsia" w:ascii="宋体" w:hAnsi="宋体" w:cs="楷体"/>
                <w:kern w:val="0"/>
                <w:sz w:val="24"/>
              </w:rPr>
              <w:t>0分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ascii="宋体" w:hAnsi="宋体" w:cs="宋体"/>
                <w:color w:val="000000"/>
                <w:sz w:val="24"/>
              </w:rPr>
              <w:t>技术参数及功能响应（</w:t>
            </w:r>
            <w:r>
              <w:rPr>
                <w:rFonts w:hint="eastAsia" w:ascii="宋体" w:hAnsi="宋体" w:cs="宋体"/>
                <w:color w:val="000000"/>
                <w:sz w:val="24"/>
                <w:lang w:val="en-US" w:eastAsia="zh-CN"/>
              </w:rPr>
              <w:t>30</w:t>
            </w:r>
            <w:r>
              <w:rPr>
                <w:rFonts w:hint="eastAsia" w:ascii="宋体" w:hAnsi="宋体" w:cs="宋体"/>
                <w:color w:val="000000"/>
                <w:sz w:val="24"/>
              </w:rPr>
              <w:t>分）</w:t>
            </w:r>
          </w:p>
        </w:tc>
        <w:tc>
          <w:tcPr>
            <w:tcW w:w="5511" w:type="dxa"/>
            <w:tcBorders>
              <w:top w:val="nil"/>
              <w:left w:val="nil"/>
              <w:bottom w:val="single" w:color="auto" w:sz="4" w:space="0"/>
              <w:right w:val="single" w:color="auto"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color w:val="000000"/>
                <w:sz w:val="24"/>
              </w:rPr>
              <w:t>投标产品技术参数全部符合磋商文件技术要求的得</w:t>
            </w:r>
            <w:r>
              <w:rPr>
                <w:rFonts w:hint="eastAsia" w:ascii="宋体" w:hAnsi="宋体" w:cs="楷体"/>
                <w:color w:val="000000"/>
                <w:sz w:val="24"/>
                <w:lang w:val="en-US" w:eastAsia="zh-CN"/>
              </w:rPr>
              <w:t>26</w:t>
            </w:r>
            <w:r>
              <w:rPr>
                <w:rFonts w:hint="eastAsia" w:ascii="宋体" w:hAnsi="宋体" w:cs="楷体"/>
                <w:color w:val="000000"/>
                <w:sz w:val="24"/>
              </w:rPr>
              <w:t>分。每负偏离一项扣2分，扣完为止；有一项评委组认可的正偏离加1分。本项最高得</w:t>
            </w:r>
            <w:r>
              <w:rPr>
                <w:rFonts w:hint="eastAsia" w:ascii="宋体" w:hAnsi="宋体" w:cs="楷体"/>
                <w:color w:val="000000"/>
                <w:sz w:val="24"/>
                <w:lang w:val="en-US" w:eastAsia="zh-CN"/>
              </w:rPr>
              <w:t>30</w:t>
            </w:r>
            <w:r>
              <w:rPr>
                <w:rFonts w:hint="eastAsia" w:ascii="宋体" w:hAnsi="宋体" w:cs="楷体"/>
                <w:color w:val="000000"/>
                <w:sz w:val="24"/>
              </w:rPr>
              <w:t>分。</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宋体" w:hAnsi="宋体" w:cs="楷体"/>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宋体" w:hAnsi="宋体" w:cs="宋体"/>
                <w:color w:val="000000"/>
                <w:sz w:val="24"/>
              </w:rPr>
            </w:pPr>
            <w:r>
              <w:rPr>
                <w:rFonts w:hint="eastAsia" w:asciiTheme="minorEastAsia" w:hAnsiTheme="minorEastAsia" w:eastAsiaTheme="minorEastAsia"/>
                <w:sz w:val="24"/>
              </w:rPr>
              <w:t>品牌和选型（</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分）</w:t>
            </w:r>
          </w:p>
        </w:tc>
        <w:tc>
          <w:tcPr>
            <w:tcW w:w="5511" w:type="dxa"/>
            <w:tcBorders>
              <w:top w:val="single" w:color="auto" w:sz="4" w:space="0"/>
              <w:left w:val="nil"/>
              <w:bottom w:val="single" w:color="000000" w:sz="6" w:space="0"/>
              <w:right w:val="single" w:color="auto" w:sz="4" w:space="0"/>
            </w:tcBorders>
            <w:tcMar>
              <w:top w:w="0" w:type="dxa"/>
              <w:left w:w="105" w:type="dxa"/>
              <w:bottom w:w="0" w:type="dxa"/>
              <w:right w:w="105" w:type="dxa"/>
            </w:tcMar>
            <w:vAlign w:val="center"/>
          </w:tcPr>
          <w:p>
            <w:pPr>
              <w:widowControl/>
              <w:jc w:val="left"/>
              <w:rPr>
                <w:rFonts w:ascii="宋体" w:hAnsi="宋体" w:cs="楷体"/>
                <w:color w:val="000000"/>
                <w:sz w:val="24"/>
              </w:rPr>
            </w:pPr>
            <w:r>
              <w:rPr>
                <w:rFonts w:hint="eastAsia" w:cs="宋体" w:asciiTheme="minorEastAsia" w:hAnsiTheme="minorEastAsia" w:eastAsiaTheme="minorEastAsia"/>
                <w:kern w:val="0"/>
                <w:sz w:val="24"/>
              </w:rPr>
              <w:t>根据投标人所投设备的品牌与选型情况进行综合打分。优等</w:t>
            </w:r>
            <w:r>
              <w:rPr>
                <w:rFonts w:hint="eastAsia" w:cs="宋体" w:asciiTheme="minorEastAsia" w:hAnsiTheme="minorEastAsia" w:eastAsiaTheme="minorEastAsia"/>
                <w:kern w:val="0"/>
                <w:sz w:val="24"/>
                <w:lang w:val="en-US" w:eastAsia="zh-CN"/>
              </w:rPr>
              <w:t>17</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20</w:t>
            </w:r>
            <w:r>
              <w:rPr>
                <w:rFonts w:hint="eastAsia" w:cs="宋体" w:asciiTheme="minorEastAsia" w:hAnsiTheme="minorEastAsia" w:eastAsiaTheme="minorEastAsia"/>
                <w:kern w:val="0"/>
                <w:sz w:val="24"/>
              </w:rPr>
              <w:t>分；良等的</w:t>
            </w:r>
            <w:r>
              <w:rPr>
                <w:rFonts w:hint="eastAsia" w:cs="宋体" w:asciiTheme="minorEastAsia" w:hAnsiTheme="minorEastAsia" w:eastAsiaTheme="minorEastAsia"/>
                <w:kern w:val="0"/>
                <w:sz w:val="24"/>
                <w:lang w:val="en-US" w:eastAsia="zh-CN"/>
              </w:rPr>
              <w:t>13</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16</w:t>
            </w:r>
            <w:r>
              <w:rPr>
                <w:rFonts w:hint="eastAsia" w:cs="宋体" w:asciiTheme="minorEastAsia" w:hAnsiTheme="minorEastAsia" w:eastAsiaTheme="minorEastAsia"/>
                <w:kern w:val="0"/>
                <w:sz w:val="24"/>
              </w:rPr>
              <w:t>分，一般的</w:t>
            </w:r>
            <w:r>
              <w:rPr>
                <w:rFonts w:hint="eastAsia" w:cs="宋体" w:asciiTheme="minorEastAsia" w:hAnsiTheme="minorEastAsia" w:eastAsiaTheme="minorEastAsia"/>
                <w:kern w:val="0"/>
                <w:sz w:val="24"/>
                <w:lang w:val="en-US" w:eastAsia="zh-CN"/>
              </w:rPr>
              <w:t>12</w:t>
            </w:r>
            <w:r>
              <w:rPr>
                <w:rFonts w:hint="eastAsia" w:cs="宋体" w:asciiTheme="minorEastAsia" w:hAnsiTheme="minorEastAsia" w:eastAsiaTheme="minorEastAsia"/>
                <w:kern w:val="0"/>
                <w:sz w:val="24"/>
              </w:rPr>
              <w:t>分，其他的</w:t>
            </w:r>
            <w:r>
              <w:rPr>
                <w:rFonts w:hint="eastAsia" w:cs="宋体" w:asciiTheme="minorEastAsia" w:hAnsiTheme="minorEastAsia" w:eastAsiaTheme="minorEastAsia"/>
                <w:kern w:val="0"/>
                <w:sz w:val="24"/>
                <w:lang w:val="en-US" w:eastAsia="zh-CN"/>
              </w:rPr>
              <w:t>12</w:t>
            </w:r>
            <w:r>
              <w:rPr>
                <w:rFonts w:hint="eastAsia" w:cs="宋体" w:asciiTheme="minorEastAsia" w:hAnsiTheme="minorEastAsia" w:eastAsiaTheme="minorEastAsia"/>
                <w:kern w:val="0"/>
                <w:sz w:val="24"/>
              </w:rPr>
              <w:t>分以下</w:t>
            </w:r>
            <w:bookmarkStart w:id="9" w:name="_GoBack"/>
            <w:bookmarkEnd w:id="9"/>
            <w:r>
              <w:rPr>
                <w:rFonts w:hint="eastAsia" w:cs="宋体" w:asciiTheme="minorEastAsia" w:hAnsiTheme="minorEastAsia" w:eastAsiaTheme="minorEastAsia"/>
                <w:kern w:val="0"/>
                <w:sz w:val="24"/>
              </w:rPr>
              <w:t>。</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widowControl/>
              <w:rPr>
                <w:rFonts w:cs="宋体" w:asciiTheme="minorEastAsia" w:hAnsiTheme="minorEastAsia" w:eastAsiaTheme="minorEastAsia"/>
                <w:kern w:val="0"/>
                <w:sz w:val="24"/>
              </w:rPr>
            </w:pPr>
            <w:r>
              <w:rPr>
                <w:rFonts w:hint="eastAsia" w:ascii="宋体" w:hAnsi="宋体" w:cs="楷体"/>
                <w:kern w:val="0"/>
                <w:sz w:val="24"/>
              </w:rPr>
              <w:t>商务2</w:t>
            </w:r>
            <w:r>
              <w:rPr>
                <w:rFonts w:ascii="宋体" w:hAnsi="宋体" w:cs="楷体"/>
                <w:kern w:val="0"/>
                <w:sz w:val="24"/>
              </w:rPr>
              <w:t>0</w:t>
            </w:r>
            <w:r>
              <w:rPr>
                <w:rFonts w:hint="eastAsia" w:ascii="宋体" w:hAnsi="宋体" w:cs="楷体"/>
                <w:kern w:val="0"/>
                <w:sz w:val="24"/>
              </w:rPr>
              <w:t>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宋体" w:hAnsi="宋体" w:cs="楷体"/>
                <w:kern w:val="0"/>
                <w:sz w:val="24"/>
              </w:rPr>
            </w:pPr>
            <w:r>
              <w:rPr>
                <w:rFonts w:hint="eastAsia" w:ascii="宋体" w:hAnsi="宋体" w:cs="楷体"/>
                <w:kern w:val="0"/>
                <w:sz w:val="24"/>
              </w:rPr>
              <w:t>整体实力</w:t>
            </w:r>
          </w:p>
          <w:p>
            <w:pPr>
              <w:widowControl/>
              <w:jc w:val="center"/>
              <w:rPr>
                <w:rFonts w:cs="宋体" w:asciiTheme="minorEastAsia" w:hAnsiTheme="minorEastAsia" w:eastAsiaTheme="minorEastAsia"/>
                <w:kern w:val="0"/>
                <w:sz w:val="24"/>
              </w:rPr>
            </w:pPr>
            <w:r>
              <w:rPr>
                <w:rFonts w:hint="eastAsia" w:ascii="宋体" w:hAnsi="宋体" w:cs="楷体"/>
                <w:kern w:val="0"/>
                <w:sz w:val="24"/>
              </w:rPr>
              <w:t>（5分）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c>
          <w:tcPr>
            <w:tcW w:w="1009" w:type="dxa"/>
            <w:gridSpan w:val="2"/>
            <w:tcBorders>
              <w:top w:val="single" w:color="auto" w:sz="4" w:space="0"/>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559" w:type="dxa"/>
            <w:vMerge w:val="continue"/>
            <w:tcBorders>
              <w:left w:val="single" w:color="000000" w:sz="6" w:space="0"/>
              <w:right w:val="single" w:color="000000" w:sz="6" w:space="0"/>
            </w:tcBorders>
            <w:vAlign w:val="center"/>
          </w:tcPr>
          <w:p>
            <w:pPr>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vAlign w:val="center"/>
          </w:tcPr>
          <w:p>
            <w:pPr>
              <w:jc w:val="center"/>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r>
              <w:rPr>
                <w:rFonts w:hint="eastAsia" w:ascii="宋体" w:hAnsi="宋体" w:cs="楷体"/>
                <w:kern w:val="0"/>
                <w:sz w:val="24"/>
              </w:rPr>
              <w:t>业绩及信誉（5分）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投标文件中提供投标人自2020年1月1日以来类似项目业绩，有一份得1分，最高得5分。（</w:t>
            </w:r>
            <w:r>
              <w:rPr>
                <w:rFonts w:hint="eastAsia" w:cs="宋体" w:asciiTheme="minorEastAsia" w:hAnsiTheme="minorEastAsia" w:eastAsiaTheme="minorEastAsia"/>
                <w:b/>
                <w:kern w:val="0"/>
                <w:sz w:val="24"/>
              </w:rPr>
              <w:t>合同复印件需加盖投标单位公章，否则不得分。</w:t>
            </w:r>
            <w:r>
              <w:rPr>
                <w:rFonts w:hint="eastAsia" w:cs="宋体" w:asciiTheme="minorEastAsia" w:hAnsiTheme="minorEastAsia" w:eastAsiaTheme="minorEastAsia"/>
                <w:kern w:val="0"/>
                <w:sz w:val="24"/>
              </w:rPr>
              <w:t>）</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宋体" w:hAnsi="宋体" w:cs="楷体"/>
                <w:kern w:val="0"/>
                <w:sz w:val="24"/>
              </w:rPr>
            </w:pPr>
            <w:r>
              <w:rPr>
                <w:rFonts w:hint="eastAsia" w:ascii="宋体" w:hAnsi="宋体" w:cs="楷体"/>
                <w:kern w:val="0"/>
                <w:sz w:val="24"/>
              </w:rPr>
              <w:t>质保</w:t>
            </w:r>
          </w:p>
          <w:p>
            <w:pPr>
              <w:widowControl/>
              <w:jc w:val="center"/>
              <w:rPr>
                <w:rFonts w:asciiTheme="minorEastAsia" w:hAnsiTheme="minorEastAsia" w:eastAsiaTheme="minorEastAsia"/>
                <w:sz w:val="24"/>
              </w:rPr>
            </w:pPr>
            <w:r>
              <w:rPr>
                <w:rFonts w:hint="eastAsia" w:ascii="宋体" w:hAnsi="宋体" w:cs="楷体"/>
                <w:kern w:val="0"/>
                <w:sz w:val="24"/>
              </w:rPr>
              <w:t>（</w:t>
            </w:r>
            <w:r>
              <w:rPr>
                <w:rFonts w:ascii="宋体" w:hAnsi="宋体" w:cs="楷体"/>
                <w:kern w:val="0"/>
                <w:sz w:val="24"/>
              </w:rPr>
              <w:t>5</w:t>
            </w:r>
            <w:r>
              <w:rPr>
                <w:rFonts w:hint="eastAsia" w:ascii="宋体" w:hAnsi="宋体" w:cs="楷体"/>
                <w:kern w:val="0"/>
                <w:sz w:val="24"/>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kern w:val="0"/>
                <w:sz w:val="24"/>
              </w:rPr>
              <w:t>满足磋商文件质保要求得3分，每增加1年质保加1分，本项最高得5分。</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59" w:type="dxa"/>
            <w:vMerge w:val="continue"/>
            <w:tcBorders>
              <w:left w:val="single" w:color="000000" w:sz="6" w:space="0"/>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p>
        </w:tc>
        <w:tc>
          <w:tcPr>
            <w:tcW w:w="734" w:type="dxa"/>
            <w:vMerge w:val="continue"/>
            <w:tcBorders>
              <w:left w:val="nil"/>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宋体" w:hAnsi="宋体" w:cs="楷体"/>
                <w:kern w:val="0"/>
                <w:sz w:val="24"/>
              </w:rPr>
            </w:pPr>
            <w:r>
              <w:rPr>
                <w:rFonts w:hint="eastAsia" w:ascii="宋体" w:hAnsi="宋体" w:cs="楷体"/>
                <w:kern w:val="0"/>
                <w:sz w:val="24"/>
              </w:rPr>
              <w:t>售后服务</w:t>
            </w:r>
          </w:p>
          <w:p>
            <w:pPr>
              <w:widowControl/>
              <w:jc w:val="center"/>
              <w:rPr>
                <w:rFonts w:asciiTheme="minorEastAsia" w:hAnsiTheme="minorEastAsia" w:eastAsiaTheme="minorEastAsia"/>
                <w:sz w:val="24"/>
              </w:rPr>
            </w:pPr>
            <w:r>
              <w:rPr>
                <w:rFonts w:hint="eastAsia" w:ascii="宋体" w:hAnsi="宋体" w:cs="楷体"/>
                <w:kern w:val="0"/>
                <w:sz w:val="24"/>
              </w:rPr>
              <w:t>（</w:t>
            </w:r>
            <w:r>
              <w:rPr>
                <w:rFonts w:ascii="宋体" w:hAnsi="宋体" w:cs="楷体"/>
                <w:kern w:val="0"/>
                <w:sz w:val="24"/>
              </w:rPr>
              <w:t>5</w:t>
            </w:r>
            <w:r>
              <w:rPr>
                <w:rFonts w:hint="eastAsia" w:ascii="宋体" w:hAnsi="宋体" w:cs="楷体"/>
                <w:kern w:val="0"/>
                <w:sz w:val="24"/>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楷体"/>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hint="eastAsia" w:ascii="宋体" w:hAnsi="宋体" w:cs="楷体"/>
                <w:kern w:val="0"/>
                <w:sz w:val="24"/>
              </w:rPr>
              <w:t>分，良得</w:t>
            </w:r>
            <w:r>
              <w:rPr>
                <w:rFonts w:ascii="宋体" w:hAnsi="宋体" w:cs="楷体"/>
                <w:kern w:val="0"/>
                <w:sz w:val="24"/>
              </w:rPr>
              <w:t>4</w:t>
            </w:r>
            <w:r>
              <w:rPr>
                <w:rFonts w:hint="eastAsia" w:ascii="宋体" w:hAnsi="宋体" w:cs="楷体"/>
                <w:kern w:val="0"/>
                <w:sz w:val="24"/>
              </w:rPr>
              <w:t>分，一般得</w:t>
            </w:r>
            <w:r>
              <w:rPr>
                <w:rFonts w:ascii="宋体" w:hAnsi="宋体" w:cs="楷体"/>
                <w:kern w:val="0"/>
                <w:sz w:val="24"/>
              </w:rPr>
              <w:t>3</w:t>
            </w:r>
            <w:r>
              <w:rPr>
                <w:rFonts w:hint="eastAsia" w:ascii="宋体" w:hAnsi="宋体" w:cs="楷体"/>
                <w:kern w:val="0"/>
                <w:sz w:val="24"/>
              </w:rPr>
              <w:t>分，其他得</w:t>
            </w:r>
            <w:r>
              <w:rPr>
                <w:rFonts w:ascii="宋体" w:hAnsi="宋体" w:cs="楷体"/>
                <w:kern w:val="0"/>
                <w:sz w:val="24"/>
              </w:rPr>
              <w:t>3</w:t>
            </w:r>
            <w:r>
              <w:rPr>
                <w:rFonts w:hint="eastAsia" w:ascii="宋体" w:hAnsi="宋体" w:cs="楷体"/>
                <w:kern w:val="0"/>
                <w:sz w:val="24"/>
              </w:rPr>
              <w:t>分以下。</w:t>
            </w:r>
          </w:p>
        </w:tc>
        <w:tc>
          <w:tcPr>
            <w:tcW w:w="1009" w:type="dxa"/>
            <w:gridSpan w:val="2"/>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559" w:type="dxa"/>
            <w:tcBorders>
              <w:top w:val="nil"/>
              <w:left w:val="single" w:color="000000" w:sz="6" w:space="0"/>
              <w:bottom w:val="single" w:color="auto" w:sz="4" w:space="0"/>
              <w:right w:val="single" w:color="000000" w:sz="6" w:space="0"/>
            </w:tcBorders>
            <w:vAlign w:val="center"/>
          </w:tcPr>
          <w:p>
            <w:pPr>
              <w:widowControl/>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w:t>
            </w:r>
          </w:p>
        </w:tc>
        <w:tc>
          <w:tcPr>
            <w:tcW w:w="734" w:type="dxa"/>
            <w:tcBorders>
              <w:top w:val="nil"/>
              <w:left w:val="nil"/>
              <w:bottom w:val="single" w:color="auto" w:sz="4" w:space="0"/>
              <w:right w:val="single" w:color="000000" w:sz="6"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价格3</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分</w:t>
            </w:r>
          </w:p>
        </w:tc>
        <w:tc>
          <w:tcPr>
            <w:tcW w:w="1418" w:type="dxa"/>
            <w:tcBorders>
              <w:top w:val="single" w:color="auto" w:sz="4" w:space="0"/>
              <w:left w:val="single" w:color="000000" w:sz="6"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宋体" w:hAnsi="宋体" w:cs="楷体"/>
                <w:kern w:val="0"/>
                <w:sz w:val="24"/>
              </w:rPr>
            </w:pPr>
            <w:r>
              <w:rPr>
                <w:rFonts w:hint="eastAsia" w:ascii="宋体" w:hAnsi="宋体" w:cs="楷体"/>
                <w:kern w:val="0"/>
                <w:sz w:val="24"/>
              </w:rPr>
              <w:t>报价</w:t>
            </w:r>
          </w:p>
          <w:p>
            <w:pPr>
              <w:widowControl/>
              <w:jc w:val="center"/>
              <w:rPr>
                <w:rFonts w:asciiTheme="minorEastAsia" w:hAnsiTheme="minorEastAsia" w:eastAsiaTheme="minorEastAsia"/>
                <w:sz w:val="24"/>
              </w:rPr>
            </w:pPr>
            <w:r>
              <w:rPr>
                <w:rFonts w:hint="eastAsia" w:ascii="宋体" w:hAnsi="宋体" w:cs="楷体"/>
                <w:kern w:val="0"/>
                <w:sz w:val="24"/>
              </w:rPr>
              <w:t>（</w:t>
            </w:r>
            <w:r>
              <w:rPr>
                <w:rFonts w:ascii="宋体" w:hAnsi="宋体" w:cs="楷体"/>
                <w:kern w:val="0"/>
                <w:sz w:val="24"/>
                <w:lang w:eastAsia="ja-JP"/>
              </w:rPr>
              <w:t>3</w:t>
            </w:r>
            <w:r>
              <w:rPr>
                <w:rFonts w:hint="eastAsia" w:ascii="宋体" w:hAnsi="宋体" w:cs="楷体"/>
                <w:kern w:val="0"/>
                <w:sz w:val="24"/>
                <w:lang w:eastAsia="ja-JP"/>
              </w:rPr>
              <w:t>0</w:t>
            </w:r>
            <w:r>
              <w:rPr>
                <w:rFonts w:hint="eastAsia" w:ascii="宋体" w:hAnsi="宋体" w:cs="楷体"/>
                <w:kern w:val="0"/>
                <w:sz w:val="24"/>
              </w:rPr>
              <w:t>分）</w:t>
            </w:r>
          </w:p>
        </w:tc>
        <w:tc>
          <w:tcPr>
            <w:tcW w:w="551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rFonts w:cs="宋体" w:asciiTheme="minorEastAsia" w:hAnsiTheme="minorEastAsia" w:eastAsiaTheme="minorEastAsia"/>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hint="eastAsia" w:ascii="宋体" w:hAnsi="宋体" w:cs="宋体"/>
                <w:kern w:val="0"/>
                <w:sz w:val="24"/>
              </w:rPr>
              <w:t>0</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30</w:t>
            </w:r>
          </w:p>
        </w:tc>
      </w:tr>
    </w:tbl>
    <w:p>
      <w:pPr>
        <w:pStyle w:val="26"/>
        <w:rPr>
          <w:rFonts w:cs="华文楷体" w:asciiTheme="minorEastAsia" w:hAnsiTheme="minorEastAsia" w:eastAsiaTheme="minorEastAsia"/>
          <w:color w:val="000000" w:themeColor="text1"/>
          <w:sz w:val="24"/>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17</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978DA"/>
    <w:multiLevelType w:val="singleLevel"/>
    <w:tmpl w:val="8D9978DA"/>
    <w:lvl w:ilvl="0" w:tentative="0">
      <w:start w:val="1"/>
      <w:numFmt w:val="decimal"/>
      <w:lvlText w:val="%1"/>
      <w:lvlJc w:val="left"/>
      <w:pPr>
        <w:tabs>
          <w:tab w:val="left" w:pos="420"/>
        </w:tabs>
        <w:ind w:left="425" w:leftChars="0" w:hanging="425" w:firstLineChars="0"/>
      </w:pPr>
      <w:rPr>
        <w:rFonts w:hint="default"/>
      </w:rPr>
    </w:lvl>
  </w:abstractNum>
  <w:abstractNum w:abstractNumId="1">
    <w:nsid w:val="B6798000"/>
    <w:multiLevelType w:val="singleLevel"/>
    <w:tmpl w:val="B6798000"/>
    <w:lvl w:ilvl="0" w:tentative="0">
      <w:start w:val="1"/>
      <w:numFmt w:val="decimal"/>
      <w:lvlText w:val="%1"/>
      <w:lvlJc w:val="left"/>
      <w:pPr>
        <w:tabs>
          <w:tab w:val="left" w:pos="420"/>
        </w:tabs>
        <w:ind w:left="425" w:leftChars="0" w:hanging="425" w:firstLineChars="0"/>
      </w:pPr>
      <w:rPr>
        <w:rFonts w:hint="default"/>
      </w:rPr>
    </w:lvl>
  </w:abstractNum>
  <w:abstractNum w:abstractNumId="2">
    <w:nsid w:val="DEA892A6"/>
    <w:multiLevelType w:val="singleLevel"/>
    <w:tmpl w:val="DEA892A6"/>
    <w:lvl w:ilvl="0" w:tentative="0">
      <w:start w:val="1"/>
      <w:numFmt w:val="decimal"/>
      <w:lvlText w:val="%1"/>
      <w:lvlJc w:val="left"/>
      <w:pPr>
        <w:tabs>
          <w:tab w:val="left" w:pos="420"/>
        </w:tabs>
        <w:ind w:left="425" w:leftChars="0" w:hanging="425" w:firstLineChars="0"/>
      </w:pPr>
      <w:rPr>
        <w:rFonts w:hint="default"/>
      </w:rPr>
    </w:lvl>
  </w:abstractNum>
  <w:abstractNum w:abstractNumId="3">
    <w:nsid w:val="09DC7194"/>
    <w:multiLevelType w:val="multilevel"/>
    <w:tmpl w:val="09DC7194"/>
    <w:lvl w:ilvl="0" w:tentative="0">
      <w:start w:val="1"/>
      <w:numFmt w:val="decimal"/>
      <w:pStyle w:val="24"/>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4E5FD99"/>
    <w:multiLevelType w:val="singleLevel"/>
    <w:tmpl w:val="24E5FD99"/>
    <w:lvl w:ilvl="0" w:tentative="0">
      <w:start w:val="2"/>
      <w:numFmt w:val="chineseCounting"/>
      <w:suff w:val="nothing"/>
      <w:lvlText w:val="%1、"/>
      <w:lvlJc w:val="left"/>
      <w:rPr>
        <w:rFonts w:hint="eastAsia"/>
      </w:rPr>
    </w:lvl>
  </w:abstractNum>
  <w:abstractNum w:abstractNumId="6">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6D6133"/>
    <w:multiLevelType w:val="multilevel"/>
    <w:tmpl w:val="656D6133"/>
    <w:lvl w:ilvl="0" w:tentative="0">
      <w:start w:val="1"/>
      <w:numFmt w:val="chineseCountingThousand"/>
      <w:pStyle w:val="27"/>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2"/>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8">
    <w:nsid w:val="73D5C047"/>
    <w:multiLevelType w:val="singleLevel"/>
    <w:tmpl w:val="73D5C047"/>
    <w:lvl w:ilvl="0" w:tentative="0">
      <w:start w:val="2"/>
      <w:numFmt w:val="decimal"/>
      <w:lvlText w:val="%1."/>
      <w:lvlJc w:val="left"/>
      <w:pPr>
        <w:tabs>
          <w:tab w:val="left" w:pos="312"/>
        </w:tabs>
      </w:pPr>
    </w:lvl>
  </w:abstractNum>
  <w:num w:numId="1">
    <w:abstractNumId w:val="7"/>
  </w:num>
  <w:num w:numId="2">
    <w:abstractNumId w:val="3"/>
  </w:num>
  <w:num w:numId="3">
    <w:abstractNumId w:val="4"/>
  </w:num>
  <w:num w:numId="4">
    <w:abstractNumId w:val="5"/>
  </w:num>
  <w:num w:numId="5">
    <w:abstractNumId w:val="2"/>
  </w:num>
  <w:num w:numId="6">
    <w:abstractNumId w:val="1"/>
  </w:num>
  <w:num w:numId="7">
    <w:abstractNumId w:val="8"/>
  </w:num>
  <w:num w:numId="8">
    <w:abstractNumId w:val="0"/>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mNTAxYTA0NTllZTU0OWY5NWY0MWNlMzBjNGU2OTYifQ=="/>
  </w:docVars>
  <w:rsids>
    <w:rsidRoot w:val="00677253"/>
    <w:rsid w:val="00001165"/>
    <w:rsid w:val="0000296C"/>
    <w:rsid w:val="00012671"/>
    <w:rsid w:val="000203F7"/>
    <w:rsid w:val="00040922"/>
    <w:rsid w:val="000411D0"/>
    <w:rsid w:val="0004697E"/>
    <w:rsid w:val="00051E51"/>
    <w:rsid w:val="000532D5"/>
    <w:rsid w:val="000548B7"/>
    <w:rsid w:val="0005727A"/>
    <w:rsid w:val="00061137"/>
    <w:rsid w:val="000714A9"/>
    <w:rsid w:val="00076272"/>
    <w:rsid w:val="0007712F"/>
    <w:rsid w:val="0008103D"/>
    <w:rsid w:val="00081F94"/>
    <w:rsid w:val="00082075"/>
    <w:rsid w:val="00090FA0"/>
    <w:rsid w:val="00091675"/>
    <w:rsid w:val="00093C69"/>
    <w:rsid w:val="00095E35"/>
    <w:rsid w:val="000A237E"/>
    <w:rsid w:val="000B028E"/>
    <w:rsid w:val="000B2A23"/>
    <w:rsid w:val="000B46B6"/>
    <w:rsid w:val="000B5627"/>
    <w:rsid w:val="000B612A"/>
    <w:rsid w:val="000C367C"/>
    <w:rsid w:val="000C509E"/>
    <w:rsid w:val="000C5C14"/>
    <w:rsid w:val="000C7202"/>
    <w:rsid w:val="000D0F53"/>
    <w:rsid w:val="000E1282"/>
    <w:rsid w:val="000E189D"/>
    <w:rsid w:val="000F42D4"/>
    <w:rsid w:val="001013C7"/>
    <w:rsid w:val="00120740"/>
    <w:rsid w:val="00124D6A"/>
    <w:rsid w:val="00132DF1"/>
    <w:rsid w:val="00136ECC"/>
    <w:rsid w:val="0014532C"/>
    <w:rsid w:val="00151FE3"/>
    <w:rsid w:val="001523D1"/>
    <w:rsid w:val="00152AF7"/>
    <w:rsid w:val="0015538A"/>
    <w:rsid w:val="001569F8"/>
    <w:rsid w:val="00157D41"/>
    <w:rsid w:val="00161281"/>
    <w:rsid w:val="00162658"/>
    <w:rsid w:val="001669DC"/>
    <w:rsid w:val="00167689"/>
    <w:rsid w:val="001805D4"/>
    <w:rsid w:val="001915B6"/>
    <w:rsid w:val="001945DD"/>
    <w:rsid w:val="001A1588"/>
    <w:rsid w:val="001B542D"/>
    <w:rsid w:val="001B7DE0"/>
    <w:rsid w:val="001C2FDD"/>
    <w:rsid w:val="001D1544"/>
    <w:rsid w:val="001D3CDB"/>
    <w:rsid w:val="001D74AA"/>
    <w:rsid w:val="001E56B9"/>
    <w:rsid w:val="001E7175"/>
    <w:rsid w:val="001E7F01"/>
    <w:rsid w:val="001F2620"/>
    <w:rsid w:val="001F482C"/>
    <w:rsid w:val="001F5240"/>
    <w:rsid w:val="001F7709"/>
    <w:rsid w:val="002005EF"/>
    <w:rsid w:val="00205CEA"/>
    <w:rsid w:val="00210A91"/>
    <w:rsid w:val="00212832"/>
    <w:rsid w:val="00213F1F"/>
    <w:rsid w:val="00215195"/>
    <w:rsid w:val="002155D0"/>
    <w:rsid w:val="00220FE2"/>
    <w:rsid w:val="0022114C"/>
    <w:rsid w:val="00225612"/>
    <w:rsid w:val="00225FFB"/>
    <w:rsid w:val="00241F5B"/>
    <w:rsid w:val="00245480"/>
    <w:rsid w:val="00255210"/>
    <w:rsid w:val="00257537"/>
    <w:rsid w:val="00260D3B"/>
    <w:rsid w:val="00264F2E"/>
    <w:rsid w:val="00267B4C"/>
    <w:rsid w:val="002712BA"/>
    <w:rsid w:val="0027442F"/>
    <w:rsid w:val="00290BA5"/>
    <w:rsid w:val="002939F2"/>
    <w:rsid w:val="00294021"/>
    <w:rsid w:val="002A4D83"/>
    <w:rsid w:val="002A4F37"/>
    <w:rsid w:val="002A6850"/>
    <w:rsid w:val="002A7FA0"/>
    <w:rsid w:val="002C4EED"/>
    <w:rsid w:val="002D4BDA"/>
    <w:rsid w:val="002D4F55"/>
    <w:rsid w:val="002E2E09"/>
    <w:rsid w:val="002E5361"/>
    <w:rsid w:val="002F27D3"/>
    <w:rsid w:val="002F45F4"/>
    <w:rsid w:val="003019B2"/>
    <w:rsid w:val="00310E99"/>
    <w:rsid w:val="003133D5"/>
    <w:rsid w:val="00314EF2"/>
    <w:rsid w:val="00317D46"/>
    <w:rsid w:val="00322B5A"/>
    <w:rsid w:val="00322BE9"/>
    <w:rsid w:val="00333570"/>
    <w:rsid w:val="00334BA9"/>
    <w:rsid w:val="003379C1"/>
    <w:rsid w:val="00342672"/>
    <w:rsid w:val="003442B7"/>
    <w:rsid w:val="00356653"/>
    <w:rsid w:val="003724E4"/>
    <w:rsid w:val="00376C6E"/>
    <w:rsid w:val="00386D7F"/>
    <w:rsid w:val="00390090"/>
    <w:rsid w:val="0039062B"/>
    <w:rsid w:val="00394DB0"/>
    <w:rsid w:val="003C0443"/>
    <w:rsid w:val="003C04DF"/>
    <w:rsid w:val="003C351D"/>
    <w:rsid w:val="003C7DC7"/>
    <w:rsid w:val="003D160A"/>
    <w:rsid w:val="003D61FA"/>
    <w:rsid w:val="003D7C44"/>
    <w:rsid w:val="003E476A"/>
    <w:rsid w:val="003E6540"/>
    <w:rsid w:val="003F34BB"/>
    <w:rsid w:val="004002A7"/>
    <w:rsid w:val="0040195A"/>
    <w:rsid w:val="00402946"/>
    <w:rsid w:val="00404B6B"/>
    <w:rsid w:val="004064D4"/>
    <w:rsid w:val="004156E2"/>
    <w:rsid w:val="00416531"/>
    <w:rsid w:val="004168FC"/>
    <w:rsid w:val="00424DEC"/>
    <w:rsid w:val="00425EB8"/>
    <w:rsid w:val="00431A60"/>
    <w:rsid w:val="004332DF"/>
    <w:rsid w:val="004344AC"/>
    <w:rsid w:val="00434C4C"/>
    <w:rsid w:val="00434E30"/>
    <w:rsid w:val="00437917"/>
    <w:rsid w:val="00442C3E"/>
    <w:rsid w:val="00444E23"/>
    <w:rsid w:val="00450E2C"/>
    <w:rsid w:val="00461EE9"/>
    <w:rsid w:val="004648EC"/>
    <w:rsid w:val="00467767"/>
    <w:rsid w:val="004702A0"/>
    <w:rsid w:val="004751B8"/>
    <w:rsid w:val="00491C12"/>
    <w:rsid w:val="004A1940"/>
    <w:rsid w:val="004A1A19"/>
    <w:rsid w:val="004B0D1E"/>
    <w:rsid w:val="004B6171"/>
    <w:rsid w:val="004C43FD"/>
    <w:rsid w:val="004C6481"/>
    <w:rsid w:val="004D476B"/>
    <w:rsid w:val="004D4B85"/>
    <w:rsid w:val="004E2681"/>
    <w:rsid w:val="004E2F45"/>
    <w:rsid w:val="004E3241"/>
    <w:rsid w:val="004E38D8"/>
    <w:rsid w:val="004F17A3"/>
    <w:rsid w:val="004F54C9"/>
    <w:rsid w:val="004F59DC"/>
    <w:rsid w:val="004F7EC1"/>
    <w:rsid w:val="00503C8C"/>
    <w:rsid w:val="005125DE"/>
    <w:rsid w:val="00514489"/>
    <w:rsid w:val="00523CC2"/>
    <w:rsid w:val="00524882"/>
    <w:rsid w:val="00526A36"/>
    <w:rsid w:val="00533763"/>
    <w:rsid w:val="0053698D"/>
    <w:rsid w:val="00540DB4"/>
    <w:rsid w:val="00545C50"/>
    <w:rsid w:val="005462E4"/>
    <w:rsid w:val="0054706B"/>
    <w:rsid w:val="005520D9"/>
    <w:rsid w:val="00562BD8"/>
    <w:rsid w:val="00563113"/>
    <w:rsid w:val="0056352A"/>
    <w:rsid w:val="00565D28"/>
    <w:rsid w:val="00573724"/>
    <w:rsid w:val="00575D68"/>
    <w:rsid w:val="00595F15"/>
    <w:rsid w:val="005960FD"/>
    <w:rsid w:val="005A6C3F"/>
    <w:rsid w:val="005A79D1"/>
    <w:rsid w:val="005B1476"/>
    <w:rsid w:val="005B1BFE"/>
    <w:rsid w:val="005B3816"/>
    <w:rsid w:val="005C0785"/>
    <w:rsid w:val="005C27D0"/>
    <w:rsid w:val="005C5AD0"/>
    <w:rsid w:val="005C6DA8"/>
    <w:rsid w:val="005C7576"/>
    <w:rsid w:val="005C76E7"/>
    <w:rsid w:val="005D67B0"/>
    <w:rsid w:val="005E1939"/>
    <w:rsid w:val="005E2C35"/>
    <w:rsid w:val="005F2940"/>
    <w:rsid w:val="005F40F5"/>
    <w:rsid w:val="005F4BAA"/>
    <w:rsid w:val="005F5C62"/>
    <w:rsid w:val="00603792"/>
    <w:rsid w:val="00612484"/>
    <w:rsid w:val="00612567"/>
    <w:rsid w:val="00616A3D"/>
    <w:rsid w:val="00623427"/>
    <w:rsid w:val="00623CE5"/>
    <w:rsid w:val="006275FB"/>
    <w:rsid w:val="006318CE"/>
    <w:rsid w:val="0063507D"/>
    <w:rsid w:val="00635CC3"/>
    <w:rsid w:val="00636B77"/>
    <w:rsid w:val="0063760A"/>
    <w:rsid w:val="00637C44"/>
    <w:rsid w:val="006567C0"/>
    <w:rsid w:val="00664DBA"/>
    <w:rsid w:val="0066617B"/>
    <w:rsid w:val="00666A9E"/>
    <w:rsid w:val="00666B4D"/>
    <w:rsid w:val="006713C3"/>
    <w:rsid w:val="00673824"/>
    <w:rsid w:val="0067480C"/>
    <w:rsid w:val="00677253"/>
    <w:rsid w:val="00680C81"/>
    <w:rsid w:val="00682A6E"/>
    <w:rsid w:val="00687101"/>
    <w:rsid w:val="00691E55"/>
    <w:rsid w:val="00694EE3"/>
    <w:rsid w:val="006954D9"/>
    <w:rsid w:val="0069748A"/>
    <w:rsid w:val="00697BF6"/>
    <w:rsid w:val="006A6518"/>
    <w:rsid w:val="006B2C69"/>
    <w:rsid w:val="006B4FA9"/>
    <w:rsid w:val="006B76C4"/>
    <w:rsid w:val="006C0063"/>
    <w:rsid w:val="006C21C0"/>
    <w:rsid w:val="006C265B"/>
    <w:rsid w:val="006C36F6"/>
    <w:rsid w:val="006C50F4"/>
    <w:rsid w:val="006D021C"/>
    <w:rsid w:val="006D0494"/>
    <w:rsid w:val="006D2E6B"/>
    <w:rsid w:val="006D443F"/>
    <w:rsid w:val="006D5B53"/>
    <w:rsid w:val="006D6402"/>
    <w:rsid w:val="006D67A1"/>
    <w:rsid w:val="006E1FED"/>
    <w:rsid w:val="006E468F"/>
    <w:rsid w:val="006E66F9"/>
    <w:rsid w:val="006E6BA9"/>
    <w:rsid w:val="00707159"/>
    <w:rsid w:val="007110B2"/>
    <w:rsid w:val="0071278A"/>
    <w:rsid w:val="0071378F"/>
    <w:rsid w:val="00716385"/>
    <w:rsid w:val="00721713"/>
    <w:rsid w:val="007229E8"/>
    <w:rsid w:val="00723444"/>
    <w:rsid w:val="007238BF"/>
    <w:rsid w:val="00726604"/>
    <w:rsid w:val="0073313F"/>
    <w:rsid w:val="007352D6"/>
    <w:rsid w:val="00736660"/>
    <w:rsid w:val="007408E3"/>
    <w:rsid w:val="00741D1A"/>
    <w:rsid w:val="00752A18"/>
    <w:rsid w:val="00753A48"/>
    <w:rsid w:val="00753C2D"/>
    <w:rsid w:val="00762729"/>
    <w:rsid w:val="0076688D"/>
    <w:rsid w:val="0076725C"/>
    <w:rsid w:val="00770B3F"/>
    <w:rsid w:val="007740EA"/>
    <w:rsid w:val="007806D6"/>
    <w:rsid w:val="00790EF8"/>
    <w:rsid w:val="00792C70"/>
    <w:rsid w:val="00792DFF"/>
    <w:rsid w:val="00794020"/>
    <w:rsid w:val="007954B2"/>
    <w:rsid w:val="00795FFF"/>
    <w:rsid w:val="007A639B"/>
    <w:rsid w:val="007B09B1"/>
    <w:rsid w:val="007C19EB"/>
    <w:rsid w:val="007C445E"/>
    <w:rsid w:val="007D748D"/>
    <w:rsid w:val="007D7D46"/>
    <w:rsid w:val="007E64A1"/>
    <w:rsid w:val="00802E7E"/>
    <w:rsid w:val="008049A5"/>
    <w:rsid w:val="00806298"/>
    <w:rsid w:val="00810CF0"/>
    <w:rsid w:val="00814E41"/>
    <w:rsid w:val="00817E79"/>
    <w:rsid w:val="008322AF"/>
    <w:rsid w:val="00832429"/>
    <w:rsid w:val="00834A1E"/>
    <w:rsid w:val="00835692"/>
    <w:rsid w:val="00843A4B"/>
    <w:rsid w:val="008452C7"/>
    <w:rsid w:val="00845AB0"/>
    <w:rsid w:val="00850E9A"/>
    <w:rsid w:val="00851000"/>
    <w:rsid w:val="00857640"/>
    <w:rsid w:val="00867712"/>
    <w:rsid w:val="008763CB"/>
    <w:rsid w:val="00876C90"/>
    <w:rsid w:val="008770AC"/>
    <w:rsid w:val="00881D97"/>
    <w:rsid w:val="008862E6"/>
    <w:rsid w:val="00894717"/>
    <w:rsid w:val="008958BB"/>
    <w:rsid w:val="008A27C2"/>
    <w:rsid w:val="008A2A60"/>
    <w:rsid w:val="008A4A5A"/>
    <w:rsid w:val="008A4B74"/>
    <w:rsid w:val="008B1E19"/>
    <w:rsid w:val="008C7E9B"/>
    <w:rsid w:val="008D0C57"/>
    <w:rsid w:val="0091098F"/>
    <w:rsid w:val="00915A78"/>
    <w:rsid w:val="009177A2"/>
    <w:rsid w:val="00920648"/>
    <w:rsid w:val="009214D3"/>
    <w:rsid w:val="00925597"/>
    <w:rsid w:val="00925BB9"/>
    <w:rsid w:val="00942100"/>
    <w:rsid w:val="00954516"/>
    <w:rsid w:val="00954C1C"/>
    <w:rsid w:val="009701DD"/>
    <w:rsid w:val="00970953"/>
    <w:rsid w:val="009712B3"/>
    <w:rsid w:val="009735D7"/>
    <w:rsid w:val="009769B0"/>
    <w:rsid w:val="00977BF3"/>
    <w:rsid w:val="00980598"/>
    <w:rsid w:val="009836EB"/>
    <w:rsid w:val="00990815"/>
    <w:rsid w:val="009912B9"/>
    <w:rsid w:val="00992D86"/>
    <w:rsid w:val="009955CE"/>
    <w:rsid w:val="00995ABC"/>
    <w:rsid w:val="009A0F4E"/>
    <w:rsid w:val="009A52B1"/>
    <w:rsid w:val="009B75C8"/>
    <w:rsid w:val="009C4FD2"/>
    <w:rsid w:val="009C5500"/>
    <w:rsid w:val="009E5CB9"/>
    <w:rsid w:val="009F7279"/>
    <w:rsid w:val="00A0748D"/>
    <w:rsid w:val="00A07669"/>
    <w:rsid w:val="00A11352"/>
    <w:rsid w:val="00A127F1"/>
    <w:rsid w:val="00A161C0"/>
    <w:rsid w:val="00A16B33"/>
    <w:rsid w:val="00A170F1"/>
    <w:rsid w:val="00A31C8B"/>
    <w:rsid w:val="00A40EB3"/>
    <w:rsid w:val="00A432E3"/>
    <w:rsid w:val="00A43E18"/>
    <w:rsid w:val="00A44149"/>
    <w:rsid w:val="00A55074"/>
    <w:rsid w:val="00A55966"/>
    <w:rsid w:val="00A578D9"/>
    <w:rsid w:val="00A66275"/>
    <w:rsid w:val="00A70CBA"/>
    <w:rsid w:val="00A760AD"/>
    <w:rsid w:val="00A81256"/>
    <w:rsid w:val="00A828B7"/>
    <w:rsid w:val="00A852F4"/>
    <w:rsid w:val="00A94942"/>
    <w:rsid w:val="00AA4095"/>
    <w:rsid w:val="00AB222C"/>
    <w:rsid w:val="00AB352D"/>
    <w:rsid w:val="00AB48EC"/>
    <w:rsid w:val="00AB786E"/>
    <w:rsid w:val="00AC0B9E"/>
    <w:rsid w:val="00AD2BA6"/>
    <w:rsid w:val="00AD6070"/>
    <w:rsid w:val="00AE7BBE"/>
    <w:rsid w:val="00AF1609"/>
    <w:rsid w:val="00AF675F"/>
    <w:rsid w:val="00B03471"/>
    <w:rsid w:val="00B06C0D"/>
    <w:rsid w:val="00B1318B"/>
    <w:rsid w:val="00B26AD4"/>
    <w:rsid w:val="00B277EE"/>
    <w:rsid w:val="00B32183"/>
    <w:rsid w:val="00B4691C"/>
    <w:rsid w:val="00B53CC4"/>
    <w:rsid w:val="00B5559D"/>
    <w:rsid w:val="00B6647D"/>
    <w:rsid w:val="00B6749A"/>
    <w:rsid w:val="00B676A5"/>
    <w:rsid w:val="00B67E9D"/>
    <w:rsid w:val="00B73A67"/>
    <w:rsid w:val="00B7614A"/>
    <w:rsid w:val="00B81E08"/>
    <w:rsid w:val="00B90BE7"/>
    <w:rsid w:val="00B9185D"/>
    <w:rsid w:val="00B9625A"/>
    <w:rsid w:val="00B9740D"/>
    <w:rsid w:val="00B978C3"/>
    <w:rsid w:val="00BA2DEC"/>
    <w:rsid w:val="00BA44E0"/>
    <w:rsid w:val="00BB2F70"/>
    <w:rsid w:val="00BC488E"/>
    <w:rsid w:val="00BC7A12"/>
    <w:rsid w:val="00BD47CA"/>
    <w:rsid w:val="00BE1760"/>
    <w:rsid w:val="00BE716D"/>
    <w:rsid w:val="00BF2DDE"/>
    <w:rsid w:val="00BF3973"/>
    <w:rsid w:val="00BF6589"/>
    <w:rsid w:val="00C02577"/>
    <w:rsid w:val="00C105A0"/>
    <w:rsid w:val="00C12B92"/>
    <w:rsid w:val="00C20B52"/>
    <w:rsid w:val="00C237E9"/>
    <w:rsid w:val="00C301E9"/>
    <w:rsid w:val="00C4020C"/>
    <w:rsid w:val="00C40CAA"/>
    <w:rsid w:val="00C55A03"/>
    <w:rsid w:val="00C56366"/>
    <w:rsid w:val="00C63E66"/>
    <w:rsid w:val="00C671BA"/>
    <w:rsid w:val="00C73918"/>
    <w:rsid w:val="00C73AE3"/>
    <w:rsid w:val="00C73CA5"/>
    <w:rsid w:val="00C75276"/>
    <w:rsid w:val="00C77D5D"/>
    <w:rsid w:val="00C86035"/>
    <w:rsid w:val="00C92E40"/>
    <w:rsid w:val="00CA2DDD"/>
    <w:rsid w:val="00CA76F8"/>
    <w:rsid w:val="00CB0D72"/>
    <w:rsid w:val="00CB1382"/>
    <w:rsid w:val="00CB1FC5"/>
    <w:rsid w:val="00CB4486"/>
    <w:rsid w:val="00CB6DA7"/>
    <w:rsid w:val="00CC17F7"/>
    <w:rsid w:val="00CC256B"/>
    <w:rsid w:val="00CC3C21"/>
    <w:rsid w:val="00CC7209"/>
    <w:rsid w:val="00CF094D"/>
    <w:rsid w:val="00D03395"/>
    <w:rsid w:val="00D03596"/>
    <w:rsid w:val="00D0438E"/>
    <w:rsid w:val="00D061F5"/>
    <w:rsid w:val="00D21539"/>
    <w:rsid w:val="00D2272B"/>
    <w:rsid w:val="00D24352"/>
    <w:rsid w:val="00D33176"/>
    <w:rsid w:val="00D33648"/>
    <w:rsid w:val="00D378D9"/>
    <w:rsid w:val="00D4129C"/>
    <w:rsid w:val="00D42C6E"/>
    <w:rsid w:val="00D43678"/>
    <w:rsid w:val="00D461DF"/>
    <w:rsid w:val="00D54B95"/>
    <w:rsid w:val="00D55E2F"/>
    <w:rsid w:val="00D7270B"/>
    <w:rsid w:val="00D75C8F"/>
    <w:rsid w:val="00D84F45"/>
    <w:rsid w:val="00D85233"/>
    <w:rsid w:val="00D85C5E"/>
    <w:rsid w:val="00D86BA3"/>
    <w:rsid w:val="00D96073"/>
    <w:rsid w:val="00DA6EA3"/>
    <w:rsid w:val="00DB3AC7"/>
    <w:rsid w:val="00DB3C3D"/>
    <w:rsid w:val="00DC4161"/>
    <w:rsid w:val="00DC4976"/>
    <w:rsid w:val="00DD032B"/>
    <w:rsid w:val="00DE0162"/>
    <w:rsid w:val="00DE11C5"/>
    <w:rsid w:val="00DF5389"/>
    <w:rsid w:val="00E00D1E"/>
    <w:rsid w:val="00E03197"/>
    <w:rsid w:val="00E034EE"/>
    <w:rsid w:val="00E060E2"/>
    <w:rsid w:val="00E144B8"/>
    <w:rsid w:val="00E175DF"/>
    <w:rsid w:val="00E24F5B"/>
    <w:rsid w:val="00E34907"/>
    <w:rsid w:val="00E3641B"/>
    <w:rsid w:val="00E37BFD"/>
    <w:rsid w:val="00E40571"/>
    <w:rsid w:val="00E40C74"/>
    <w:rsid w:val="00E410CF"/>
    <w:rsid w:val="00E55116"/>
    <w:rsid w:val="00E552A6"/>
    <w:rsid w:val="00E601F6"/>
    <w:rsid w:val="00E675E1"/>
    <w:rsid w:val="00E676F1"/>
    <w:rsid w:val="00E7210B"/>
    <w:rsid w:val="00E731B3"/>
    <w:rsid w:val="00E81DC1"/>
    <w:rsid w:val="00E8527C"/>
    <w:rsid w:val="00E91076"/>
    <w:rsid w:val="00E94198"/>
    <w:rsid w:val="00E95376"/>
    <w:rsid w:val="00EA38B1"/>
    <w:rsid w:val="00EC033A"/>
    <w:rsid w:val="00EC48EF"/>
    <w:rsid w:val="00EC4FBF"/>
    <w:rsid w:val="00ED4359"/>
    <w:rsid w:val="00EF5E85"/>
    <w:rsid w:val="00F010D2"/>
    <w:rsid w:val="00F013B8"/>
    <w:rsid w:val="00F0146A"/>
    <w:rsid w:val="00F01CA9"/>
    <w:rsid w:val="00F01F78"/>
    <w:rsid w:val="00F02C9E"/>
    <w:rsid w:val="00F032B8"/>
    <w:rsid w:val="00F039BB"/>
    <w:rsid w:val="00F11315"/>
    <w:rsid w:val="00F118C0"/>
    <w:rsid w:val="00F20395"/>
    <w:rsid w:val="00F21864"/>
    <w:rsid w:val="00F22504"/>
    <w:rsid w:val="00F350CE"/>
    <w:rsid w:val="00F3702D"/>
    <w:rsid w:val="00F411C2"/>
    <w:rsid w:val="00F51C3A"/>
    <w:rsid w:val="00F60965"/>
    <w:rsid w:val="00F60A30"/>
    <w:rsid w:val="00F63DF6"/>
    <w:rsid w:val="00F70FD1"/>
    <w:rsid w:val="00F719EB"/>
    <w:rsid w:val="00F76908"/>
    <w:rsid w:val="00F82734"/>
    <w:rsid w:val="00F83F89"/>
    <w:rsid w:val="00F906E4"/>
    <w:rsid w:val="00F9604D"/>
    <w:rsid w:val="00F974E5"/>
    <w:rsid w:val="00FA0A17"/>
    <w:rsid w:val="00FA30FA"/>
    <w:rsid w:val="00FA6657"/>
    <w:rsid w:val="00FA7D64"/>
    <w:rsid w:val="00FB2546"/>
    <w:rsid w:val="00FB36AF"/>
    <w:rsid w:val="00FB5ECF"/>
    <w:rsid w:val="00FD0DF0"/>
    <w:rsid w:val="00FD3A90"/>
    <w:rsid w:val="00FE3673"/>
    <w:rsid w:val="00FF0E56"/>
    <w:rsid w:val="00FF2F48"/>
    <w:rsid w:val="00FF3080"/>
    <w:rsid w:val="00FF51A3"/>
    <w:rsid w:val="01616169"/>
    <w:rsid w:val="0196601E"/>
    <w:rsid w:val="01DF624F"/>
    <w:rsid w:val="05022463"/>
    <w:rsid w:val="077F43B3"/>
    <w:rsid w:val="0E4D310E"/>
    <w:rsid w:val="0FB464C2"/>
    <w:rsid w:val="128437C6"/>
    <w:rsid w:val="13443F37"/>
    <w:rsid w:val="15DD19FA"/>
    <w:rsid w:val="169B723D"/>
    <w:rsid w:val="17D654AF"/>
    <w:rsid w:val="195F3480"/>
    <w:rsid w:val="196B55C7"/>
    <w:rsid w:val="1BEF2DF2"/>
    <w:rsid w:val="1CA64C9C"/>
    <w:rsid w:val="1E991F2C"/>
    <w:rsid w:val="1F077B62"/>
    <w:rsid w:val="1F4122F9"/>
    <w:rsid w:val="1FA46BD3"/>
    <w:rsid w:val="202B4FDB"/>
    <w:rsid w:val="202F79A2"/>
    <w:rsid w:val="21EF135E"/>
    <w:rsid w:val="22891C74"/>
    <w:rsid w:val="22C92E93"/>
    <w:rsid w:val="22DF0D97"/>
    <w:rsid w:val="25381017"/>
    <w:rsid w:val="276E04CD"/>
    <w:rsid w:val="293159F3"/>
    <w:rsid w:val="29920994"/>
    <w:rsid w:val="2B3C3EAD"/>
    <w:rsid w:val="30542317"/>
    <w:rsid w:val="305675B0"/>
    <w:rsid w:val="3073521F"/>
    <w:rsid w:val="3191788B"/>
    <w:rsid w:val="331665FC"/>
    <w:rsid w:val="34A85964"/>
    <w:rsid w:val="36A24822"/>
    <w:rsid w:val="38064E37"/>
    <w:rsid w:val="386F2B4A"/>
    <w:rsid w:val="39E7040C"/>
    <w:rsid w:val="3ADA76DA"/>
    <w:rsid w:val="3B3C0CE1"/>
    <w:rsid w:val="3B9E560F"/>
    <w:rsid w:val="3D095BC8"/>
    <w:rsid w:val="3D3103CE"/>
    <w:rsid w:val="3D9020E8"/>
    <w:rsid w:val="3DA20817"/>
    <w:rsid w:val="40523A4C"/>
    <w:rsid w:val="40BD17EF"/>
    <w:rsid w:val="420E191A"/>
    <w:rsid w:val="42466F4F"/>
    <w:rsid w:val="43512CD8"/>
    <w:rsid w:val="467B090B"/>
    <w:rsid w:val="48912668"/>
    <w:rsid w:val="49B51131"/>
    <w:rsid w:val="4A611E90"/>
    <w:rsid w:val="4B636F99"/>
    <w:rsid w:val="4E867CD5"/>
    <w:rsid w:val="52B17225"/>
    <w:rsid w:val="52B82387"/>
    <w:rsid w:val="52EC166D"/>
    <w:rsid w:val="53717C06"/>
    <w:rsid w:val="55DF2C65"/>
    <w:rsid w:val="563433C5"/>
    <w:rsid w:val="58B02697"/>
    <w:rsid w:val="59D050BB"/>
    <w:rsid w:val="59F25A39"/>
    <w:rsid w:val="5DA30B5A"/>
    <w:rsid w:val="61BC315C"/>
    <w:rsid w:val="62175534"/>
    <w:rsid w:val="63E32DAD"/>
    <w:rsid w:val="65C87292"/>
    <w:rsid w:val="66144017"/>
    <w:rsid w:val="663E522D"/>
    <w:rsid w:val="6C8B34FC"/>
    <w:rsid w:val="6CC938CF"/>
    <w:rsid w:val="717F4C96"/>
    <w:rsid w:val="71C97C3F"/>
    <w:rsid w:val="74FA7E4E"/>
    <w:rsid w:val="79154C3B"/>
    <w:rsid w:val="7DC14075"/>
    <w:rsid w:val="7F7A419B"/>
    <w:rsid w:val="7FEA7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semiHidden/>
    <w:unhideWhenUsed/>
    <w:qFormat/>
    <w:uiPriority w:val="99"/>
    <w:pPr>
      <w:spacing w:after="120"/>
    </w:pPr>
  </w:style>
  <w:style w:type="paragraph" w:styleId="7">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8">
    <w:name w:val="Date"/>
    <w:basedOn w:val="1"/>
    <w:next w:val="1"/>
    <w:link w:val="42"/>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1"/>
    <w:qFormat/>
    <w:uiPriority w:val="0"/>
    <w:pPr>
      <w:tabs>
        <w:tab w:val="center" w:pos="4153"/>
        <w:tab w:val="right" w:pos="8306"/>
      </w:tabs>
      <w:adjustRightInd w:val="0"/>
      <w:spacing w:line="240" w:lineRule="atLeast"/>
      <w:jc w:val="left"/>
    </w:pPr>
    <w:rPr>
      <w:kern w:val="0"/>
      <w:sz w:val="18"/>
      <w:szCs w:val="20"/>
    </w:rPr>
  </w:style>
  <w:style w:type="paragraph" w:styleId="11">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6"/>
    <w:link w:val="20"/>
    <w:qFormat/>
    <w:uiPriority w:val="0"/>
    <w:pPr>
      <w:ind w:firstLine="420" w:firstLineChars="100"/>
    </w:pPr>
    <w:rPr>
      <w:rFonts w:eastAsia="仿宋_GB2312"/>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rPr>
  </w:style>
  <w:style w:type="character" w:customStyle="1" w:styleId="19">
    <w:name w:val="正文文本 Char"/>
    <w:basedOn w:val="16"/>
    <w:link w:val="6"/>
    <w:semiHidden/>
    <w:qFormat/>
    <w:uiPriority w:val="99"/>
    <w:rPr>
      <w:rFonts w:ascii="Times New Roman" w:hAnsi="Times New Roman" w:eastAsia="宋体" w:cs="Times New Roman"/>
      <w:szCs w:val="24"/>
    </w:rPr>
  </w:style>
  <w:style w:type="character" w:customStyle="1" w:styleId="20">
    <w:name w:val="正文首行缩进 Char"/>
    <w:basedOn w:val="19"/>
    <w:link w:val="13"/>
    <w:qFormat/>
    <w:uiPriority w:val="0"/>
    <w:rPr>
      <w:rFonts w:ascii="Times New Roman" w:hAnsi="Times New Roman" w:eastAsia="仿宋_GB2312" w:cs="Times New Roman"/>
      <w:szCs w:val="20"/>
    </w:rPr>
  </w:style>
  <w:style w:type="character" w:customStyle="1" w:styleId="21">
    <w:name w:val="页脚 Char"/>
    <w:basedOn w:val="16"/>
    <w:link w:val="10"/>
    <w:qFormat/>
    <w:uiPriority w:val="0"/>
    <w:rPr>
      <w:rFonts w:ascii="Times New Roman" w:hAnsi="Times New Roman" w:eastAsia="宋体" w:cs="Times New Roman"/>
      <w:kern w:val="0"/>
      <w:sz w:val="18"/>
      <w:szCs w:val="20"/>
    </w:rPr>
  </w:style>
  <w:style w:type="paragraph" w:customStyle="1" w:styleId="22">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24">
    <w:name w:val="样式1"/>
    <w:basedOn w:val="1"/>
    <w:qFormat/>
    <w:uiPriority w:val="0"/>
    <w:pPr>
      <w:numPr>
        <w:ilvl w:val="0"/>
        <w:numId w:val="2"/>
      </w:numPr>
      <w:adjustRightInd w:val="0"/>
    </w:pPr>
    <w:rPr>
      <w:rFonts w:ascii="宋体" w:hAnsi="宋体"/>
      <w:kern w:val="0"/>
      <w:szCs w:val="21"/>
    </w:rPr>
  </w:style>
  <w:style w:type="paragraph" w:customStyle="1" w:styleId="25">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customStyle="1" w:styleId="27">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28">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29">
    <w:name w:val="样式 宋体 五号 两端对齐 行距: 单倍行距"/>
    <w:basedOn w:val="1"/>
    <w:qFormat/>
    <w:uiPriority w:val="0"/>
    <w:pPr>
      <w:adjustRightInd w:val="0"/>
    </w:pPr>
    <w:rPr>
      <w:rFonts w:ascii="宋体" w:hAnsi="宋体"/>
      <w:kern w:val="0"/>
      <w:szCs w:val="20"/>
    </w:rPr>
  </w:style>
  <w:style w:type="character" w:customStyle="1" w:styleId="30">
    <w:name w:val="标题 3 Char"/>
    <w:basedOn w:val="16"/>
    <w:link w:val="4"/>
    <w:semiHidden/>
    <w:qFormat/>
    <w:uiPriority w:val="9"/>
    <w:rPr>
      <w:rFonts w:ascii="Times New Roman" w:hAnsi="Times New Roman" w:eastAsia="宋体" w:cs="Times New Roman"/>
      <w:b/>
      <w:bCs/>
      <w:sz w:val="32"/>
      <w:szCs w:val="32"/>
    </w:rPr>
  </w:style>
  <w:style w:type="character" w:customStyle="1" w:styleId="31">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32">
    <w:name w:val="标题 4 Char"/>
    <w:basedOn w:val="16"/>
    <w:link w:val="5"/>
    <w:semiHidden/>
    <w:qFormat/>
    <w:uiPriority w:val="9"/>
    <w:rPr>
      <w:rFonts w:asciiTheme="majorHAnsi" w:hAnsiTheme="majorHAnsi" w:eastAsiaTheme="majorEastAsia" w:cstheme="majorBidi"/>
      <w:b/>
      <w:bCs/>
      <w:sz w:val="28"/>
      <w:szCs w:val="28"/>
    </w:rPr>
  </w:style>
  <w:style w:type="character" w:customStyle="1" w:styleId="33">
    <w:name w:val="标题 1 Char"/>
    <w:basedOn w:val="16"/>
    <w:link w:val="2"/>
    <w:qFormat/>
    <w:uiPriority w:val="9"/>
    <w:rPr>
      <w:rFonts w:ascii="Times New Roman" w:hAnsi="Times New Roman" w:eastAsia="宋体" w:cs="Times New Roman"/>
      <w:b/>
      <w:bCs/>
      <w:kern w:val="44"/>
      <w:sz w:val="44"/>
      <w:szCs w:val="44"/>
    </w:rPr>
  </w:style>
  <w:style w:type="character" w:customStyle="1" w:styleId="34">
    <w:name w:val="批注框文本 Char"/>
    <w:basedOn w:val="16"/>
    <w:link w:val="9"/>
    <w:semiHidden/>
    <w:qFormat/>
    <w:uiPriority w:val="99"/>
    <w:rPr>
      <w:rFonts w:ascii="Times New Roman" w:hAnsi="Times New Roman" w:eastAsia="宋体" w:cs="Times New Roman"/>
      <w:sz w:val="18"/>
      <w:szCs w:val="18"/>
    </w:rPr>
  </w:style>
  <w:style w:type="character" w:customStyle="1" w:styleId="35">
    <w:name w:val="页眉 Char"/>
    <w:basedOn w:val="16"/>
    <w:link w:val="11"/>
    <w:qFormat/>
    <w:uiPriority w:val="99"/>
    <w:rPr>
      <w:rFonts w:ascii="Times New Roman" w:hAnsi="Times New Roman" w:eastAsia="宋体" w:cs="Times New Roman"/>
      <w:sz w:val="18"/>
      <w:szCs w:val="18"/>
    </w:rPr>
  </w:style>
  <w:style w:type="character" w:customStyle="1" w:styleId="36">
    <w:name w:val="font41"/>
    <w:basedOn w:val="16"/>
    <w:qFormat/>
    <w:uiPriority w:val="0"/>
    <w:rPr>
      <w:rFonts w:hint="eastAsia" w:ascii="宋体" w:hAnsi="宋体" w:eastAsia="宋体" w:cs="宋体"/>
      <w:color w:val="000000"/>
      <w:sz w:val="20"/>
      <w:szCs w:val="20"/>
      <w:u w:val="none"/>
    </w:rPr>
  </w:style>
  <w:style w:type="character" w:customStyle="1" w:styleId="37">
    <w:name w:val="font51"/>
    <w:basedOn w:val="16"/>
    <w:qFormat/>
    <w:uiPriority w:val="0"/>
    <w:rPr>
      <w:rFonts w:hint="eastAsia" w:ascii="宋体" w:hAnsi="宋体" w:eastAsia="宋体" w:cs="宋体"/>
      <w:color w:val="000000"/>
      <w:sz w:val="20"/>
      <w:szCs w:val="20"/>
      <w:u w:val="single"/>
    </w:rPr>
  </w:style>
  <w:style w:type="paragraph" w:styleId="38">
    <w:name w:val="List Paragraph"/>
    <w:basedOn w:val="1"/>
    <w:link w:val="41"/>
    <w:qFormat/>
    <w:uiPriority w:val="0"/>
    <w:pPr>
      <w:ind w:firstLine="420" w:firstLineChars="200"/>
    </w:pPr>
  </w:style>
  <w:style w:type="paragraph" w:customStyle="1" w:styleId="39">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0">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1">
    <w:name w:val="列出段落 Char"/>
    <w:link w:val="38"/>
    <w:qFormat/>
    <w:uiPriority w:val="0"/>
    <w:rPr>
      <w:kern w:val="2"/>
      <w:sz w:val="21"/>
      <w:szCs w:val="24"/>
    </w:rPr>
  </w:style>
  <w:style w:type="character" w:customStyle="1" w:styleId="42">
    <w:name w:val="日期 Char"/>
    <w:basedOn w:val="16"/>
    <w:link w:val="8"/>
    <w:semiHidden/>
    <w:qFormat/>
    <w:uiPriority w:val="99"/>
    <w:rPr>
      <w:kern w:val="2"/>
      <w:sz w:val="21"/>
      <w:szCs w:val="24"/>
    </w:rPr>
  </w:style>
  <w:style w:type="paragraph" w:customStyle="1" w:styleId="43">
    <w:name w:val="_Style 83"/>
    <w:basedOn w:val="6"/>
    <w:next w:val="13"/>
    <w:qFormat/>
    <w:uiPriority w:val="0"/>
    <w:pPr>
      <w:ind w:firstLine="420" w:firstLineChars="100"/>
    </w:pPr>
    <w:rPr>
      <w:rFonts w:eastAsia="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6091A-1559-42DA-AABD-4A8E9A0214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1732</Words>
  <Characters>9874</Characters>
  <Lines>82</Lines>
  <Paragraphs>23</Paragraphs>
  <TotalTime>0</TotalTime>
  <ScaleCrop>false</ScaleCrop>
  <LinksUpToDate>false</LinksUpToDate>
  <CharactersWithSpaces>11583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2022-10-07T08:34:00Z</dcterms:created>
  <dc:creator>Lenovo</dc:creator>
  <cp:lastModifiedBy>DELL</cp:lastModifiedBy>
  <cp:lastPrinted>2020-06-18T09:09:00Z</cp:lastPrinted>
  <dcterms:modified xsi:type="dcterms:W3CDTF">2023-07-13T15:15:49Z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F3FA86A8188946D8A3A92EF66F0D4D57_12</vt:lpwstr>
  </property>
</Properties>
</file>